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36"/>
          <w:szCs w:val="36"/>
        </w:rPr>
      </w:pPr>
      <w:r>
        <w:rPr>
          <w:color w:val="000000"/>
          <w:sz w:val="36"/>
          <w:szCs w:val="36"/>
        </w:rPr>
        <w:t>南京理工大学泰州科技学院二级教学科研单位办公室改造项目竞争性谈判公告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color w:val="000000"/>
          <w:sz w:val="24"/>
          <w:szCs w:val="24"/>
        </w:rPr>
      </w:pPr>
      <w:bookmarkStart w:id="0" w:name="OLE_LINK1"/>
      <w:r>
        <w:rPr>
          <w:rFonts w:ascii="宋体" w:hAnsi="宋体" w:eastAsia="宋体" w:cs="宋体"/>
          <w:color w:val="000000"/>
          <w:kern w:val="0"/>
          <w:sz w:val="24"/>
          <w:szCs w:val="24"/>
          <w:lang w:val="en-US" w:eastAsia="zh-CN" w:bidi="ar"/>
        </w:rPr>
        <w:t>根据《南京理工大学泰州科技学院采购管理相关规定》，现就二级教学科研单位办公室改造项目采用竞争性谈判方式采购，欢迎符合资格条件、愿意接受本项目谈判文件全部条款要求的供应商前来参与报价。本项目采用经评审的最低报价法评标，在采购需求、质量和服务均满足实质性要求的前提下，确定报价最低者为成交供应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jc w:val="left"/>
        <w:textAlignment w:val="auto"/>
        <w:rPr>
          <w:color w:val="000000"/>
          <w:sz w:val="24"/>
          <w:szCs w:val="24"/>
        </w:rPr>
      </w:pPr>
      <w:r>
        <w:rPr>
          <w:b/>
          <w:bCs/>
          <w:color w:val="000000"/>
          <w:sz w:val="24"/>
          <w:szCs w:val="24"/>
        </w:rPr>
        <w:t>一、项目名称</w:t>
      </w:r>
      <w:r>
        <w:rPr>
          <w:rFonts w:hint="eastAsia"/>
          <w:b/>
          <w:bCs/>
          <w:color w:val="000000"/>
          <w:sz w:val="24"/>
          <w:szCs w:val="24"/>
          <w:lang w:eastAsia="zh-CN"/>
        </w:rPr>
        <w:t>：</w:t>
      </w:r>
      <w:r>
        <w:rPr>
          <w:rFonts w:ascii="宋体" w:hAnsi="宋体" w:eastAsia="宋体" w:cs="宋体"/>
          <w:b w:val="0"/>
          <w:bCs w:val="0"/>
          <w:color w:val="000000" w:themeColor="text1"/>
          <w:kern w:val="0"/>
          <w:sz w:val="24"/>
          <w:szCs w:val="24"/>
          <w:lang w:val="en-US" w:eastAsia="zh-CN" w:bidi="ar"/>
          <w14:textFill>
            <w14:solidFill>
              <w14:schemeClr w14:val="tx1"/>
            </w14:solidFill>
          </w14:textFill>
        </w:rPr>
        <w:t>二级教学科研单位办公室改造项目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b w:val="0"/>
          <w:bCs w:val="0"/>
          <w:color w:val="000000"/>
          <w:sz w:val="24"/>
          <w:szCs w:val="24"/>
        </w:rPr>
      </w:pPr>
      <w:r>
        <w:rPr>
          <w:color w:val="000000"/>
          <w:sz w:val="24"/>
          <w:szCs w:val="24"/>
        </w:rPr>
        <w:t>二、项目编号</w:t>
      </w:r>
      <w:r>
        <w:rPr>
          <w:rFonts w:hint="eastAsia"/>
          <w:color w:val="000000"/>
          <w:sz w:val="24"/>
          <w:szCs w:val="24"/>
          <w:lang w:eastAsia="zh-CN"/>
        </w:rPr>
        <w:t>：</w:t>
      </w:r>
      <w:r>
        <w:rPr>
          <w:rFonts w:ascii="宋体" w:hAnsi="宋体" w:eastAsia="宋体" w:cs="宋体"/>
          <w:b w:val="0"/>
          <w:bCs w:val="0"/>
          <w:color w:val="000000"/>
          <w:kern w:val="0"/>
          <w:sz w:val="24"/>
          <w:szCs w:val="24"/>
          <w:lang w:val="en-US" w:eastAsia="zh-CN" w:bidi="ar"/>
        </w:rPr>
        <w:t>2026.049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ascii="宋体" w:hAnsi="宋体" w:eastAsia="宋体" w:cs="宋体"/>
          <w:b w:val="0"/>
          <w:bCs w:val="0"/>
          <w:color w:val="000000" w:themeColor="text1"/>
          <w:kern w:val="0"/>
          <w:sz w:val="24"/>
          <w:szCs w:val="24"/>
          <w:lang w:val="en-US" w:eastAsia="zh-CN" w:bidi="ar"/>
          <w14:textFill>
            <w14:solidFill>
              <w14:schemeClr w14:val="tx1"/>
            </w14:solidFill>
          </w14:textFill>
        </w:rPr>
      </w:pPr>
      <w:r>
        <w:rPr>
          <w:color w:val="000000"/>
          <w:sz w:val="24"/>
          <w:szCs w:val="24"/>
        </w:rPr>
        <w:t>三、项目预算</w:t>
      </w:r>
      <w:r>
        <w:rPr>
          <w:rFonts w:hint="eastAsia"/>
          <w:color w:val="000000"/>
          <w:sz w:val="24"/>
          <w:szCs w:val="24"/>
          <w:lang w:eastAsia="zh-CN"/>
        </w:rPr>
        <w:t>：</w:t>
      </w:r>
      <w:r>
        <w:rPr>
          <w:rFonts w:ascii="宋体" w:hAnsi="宋体" w:eastAsia="宋体" w:cs="宋体"/>
          <w:b w:val="0"/>
          <w:bCs w:val="0"/>
          <w:color w:val="000000" w:themeColor="text1"/>
          <w:kern w:val="0"/>
          <w:sz w:val="24"/>
          <w:szCs w:val="24"/>
          <w:lang w:val="en-US" w:eastAsia="zh-CN" w:bidi="ar"/>
          <w14:textFill>
            <w14:solidFill>
              <w14:schemeClr w14:val="tx1"/>
            </w14:solidFill>
          </w14:textFill>
        </w:rPr>
        <w:t xml:space="preserve">人民币 </w:t>
      </w:r>
      <w:r>
        <w:rPr>
          <w:rFonts w:hint="eastAsia" w:cs="宋体"/>
          <w:b w:val="0"/>
          <w:bCs w:val="0"/>
          <w:color w:val="000000" w:themeColor="text1"/>
          <w:kern w:val="0"/>
          <w:sz w:val="24"/>
          <w:szCs w:val="24"/>
          <w:lang w:val="en-US" w:eastAsia="zh-CN" w:bidi="ar"/>
          <w14:textFill>
            <w14:solidFill>
              <w14:schemeClr w14:val="tx1"/>
            </w14:solidFill>
          </w14:textFill>
        </w:rPr>
        <w:t>45000</w:t>
      </w:r>
      <w:r>
        <w:rPr>
          <w:rFonts w:ascii="宋体" w:hAnsi="宋体" w:eastAsia="宋体" w:cs="宋体"/>
          <w:b w:val="0"/>
          <w:bCs w:val="0"/>
          <w:color w:val="000000" w:themeColor="text1"/>
          <w:kern w:val="0"/>
          <w:sz w:val="24"/>
          <w:szCs w:val="24"/>
          <w:lang w:val="en-US" w:eastAsia="zh-CN" w:bidi="ar"/>
          <w14:textFill>
            <w14:solidFill>
              <w14:schemeClr w14:val="tx1"/>
            </w14:solidFill>
          </w14:textFill>
        </w:rPr>
        <w:t xml:space="preserve"> 元（含税固定包干总价，总报价超出限价作无效响应）；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sz w:val="24"/>
          <w:szCs w:val="24"/>
        </w:rPr>
      </w:pPr>
      <w:r>
        <w:rPr>
          <w:color w:val="000000"/>
          <w:sz w:val="24"/>
          <w:szCs w:val="24"/>
        </w:rPr>
        <w:t>四、资质要求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 投标人须为中华人民共和国境内注册独立法人，持有有效营业执照；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2. 具有良好商业信誉、健全财务制度，具备完成本项目的人员、设备、施工技术能力；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3. 依法缴纳税收、社保，提供近半年完税、社保证明材料；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4. 单位负责人为同一人或存在控股、管理关系的不同单位，不得同时投标；在我校有采购不良记录单位禁止参与；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5. 投标截止日前，未被信用中国网站列入失信被执行人、重大税收违法、严重失信名单，须提供当日完整查询截图加盖公章；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6. 本项目不接受联合体，成交后严禁分包、转包，须出具书面承诺；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7. 专项资质：具备住建部门核发建筑装修装饰工程专业承包三级及以上资质，证书在有效期内；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8. 项目经理要求：建筑工程二级及以上注册建造师 + 有效安全 B 证，注册在本单位，无在建项目，不得多单位兼职执业；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9. 所有证书、截图、承诺文件复印件均加盖投标人公章备查。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sz w:val="24"/>
          <w:szCs w:val="24"/>
        </w:rPr>
      </w:pPr>
      <w:r>
        <w:rPr>
          <w:color w:val="000000"/>
          <w:sz w:val="24"/>
          <w:szCs w:val="24"/>
        </w:rPr>
        <w:t>五、项目主要工程清单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eastAsia="宋体"/>
          <w:color w:val="000000"/>
          <w:sz w:val="24"/>
          <w:szCs w:val="24"/>
          <w:lang w:eastAsia="zh-CN"/>
        </w:rPr>
      </w:pPr>
      <w:r>
        <w:rPr>
          <w:color w:val="000000"/>
          <w:sz w:val="24"/>
          <w:szCs w:val="24"/>
        </w:rPr>
        <w:t>改造范围</w:t>
      </w:r>
      <w:r>
        <w:rPr>
          <w:rFonts w:hint="eastAsia"/>
          <w:color w:val="000000"/>
          <w:sz w:val="24"/>
          <w:szCs w:val="24"/>
          <w:lang w:eastAsia="zh-CN"/>
        </w:rPr>
        <w:t>：</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外国语学院敏行楼 A413、A414，环药 508-1、敏行楼 A203：轻钢龙骨石膏板隔断拆分独立办公室，配套木门、强弱电布线、LED 吸顶灯更换； </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马研部 A310：室内墙面整体粉刷、强弱电布线、灯具更换、新增插座、网络接口、千兆路由器； </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全项目配套：原有吊顶 / 隔断拆除、墙面铲除、涂料出新、PVC 线管配线、六类网线、铝合金移门、脚手架、办公室家具搬运调整； 4. 空调采购（跟标）：躬行楼 223、敏行楼 A203、敏行楼 M13，3P 柜机 2 台、1.5P 挂机 1 台，不纳入本次谈判报价范围。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color w:val="000000"/>
          <w:sz w:val="24"/>
          <w:szCs w:val="24"/>
        </w:rPr>
      </w:pPr>
      <w:r>
        <w:rPr>
          <w:color w:val="000000"/>
          <w:sz w:val="24"/>
          <w:szCs w:val="24"/>
        </w:rPr>
        <w:t>分部分项工程量清单</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570"/>
        <w:gridCol w:w="2309"/>
        <w:gridCol w:w="748"/>
        <w:gridCol w:w="885"/>
        <w:gridCol w:w="4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项目名称</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计量单位</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工程量</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center"/>
              <w:rPr>
                <w:b/>
                <w:bCs/>
              </w:rPr>
            </w:pPr>
            <w:r>
              <w:rPr>
                <w:rFonts w:ascii="宋体" w:hAnsi="宋体" w:eastAsia="宋体" w:cs="宋体"/>
                <w:b/>
                <w:bCs/>
                <w:kern w:val="0"/>
                <w:sz w:val="24"/>
                <w:szCs w:val="24"/>
                <w:lang w:val="en-US" w:eastAsia="zh-CN" w:bidi="ar"/>
              </w:rPr>
              <w:t>施工及材料说明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矿棉板顶拆除及恢复</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原有矿棉板吊顶保护性拆除、复原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嵌入式 LED 平板荧光灯 600*600 48W</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套</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16</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成套成品灯具，含安装辅料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旧荧光灯拆除（双火以内）</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套</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16</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拆除清运旧灯具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轻钢龙骨石膏板金属隔断</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178</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轻钢龙骨 + 隔音棉 + 双层石膏板，防锈腻子、三遍乳胶漆</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 xml:space="preserve">立邦 </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多乐士</w:t>
            </w:r>
            <w:r>
              <w:rPr>
                <w:rFonts w:hint="eastAsia" w:ascii="宋体" w:hAnsi="宋体" w:eastAsia="宋体" w:cs="宋体"/>
                <w:kern w:val="0"/>
                <w:sz w:val="24"/>
                <w:szCs w:val="24"/>
                <w:lang w:val="en-US" w:eastAsia="zh-CN" w:bidi="ar"/>
              </w:rPr>
              <w:t>、</w:t>
            </w:r>
            <w:r>
              <w:rPr>
                <w:rFonts w:ascii="宋体" w:hAnsi="宋体" w:eastAsia="宋体" w:cs="宋体"/>
                <w:color w:val="000000" w:themeColor="text1"/>
                <w:kern w:val="0"/>
                <w:sz w:val="24"/>
                <w:lang w:bidi="ar"/>
                <w14:textFill>
                  <w14:solidFill>
                    <w14:schemeClr w14:val="tx1"/>
                  </w14:solidFill>
                </w14:textFill>
              </w:rPr>
              <w:t>三棵树</w:t>
            </w:r>
            <w:r>
              <w:rPr>
                <w:rFonts w:hint="eastAsia" w:ascii="宋体" w:hAnsi="宋体" w:eastAsia="宋体" w:cs="宋体"/>
                <w:color w:val="000000" w:themeColor="text1"/>
                <w:kern w:val="0"/>
                <w:sz w:val="24"/>
                <w:lang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10A 五孔安全暗插座</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40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国标阻燃暗装插座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6</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16A 空调专用三孔插座</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空调供电专用插座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7</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空调漏电保护开关</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单式三极漏电保护器安装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8</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实木复合门 900*2200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7.92</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成品木门、五金、安装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9</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PVC20 阻燃配管</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140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砖墙 / 混凝土明敷线管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PVC25 阻燃配管</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60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大功率设备专用线管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BV2.5 照明配线</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460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铜芯照明线路穿管敷设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12</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BV4 动力配线</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210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空调、大功率插座线路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13</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86 型 PVC 接线盒</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暗装开关底盒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14</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砖墙开凿修复</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底盒开槽、修补找平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15</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千兆路由器</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套</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8</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办公网络主设备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16</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网络面板</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个</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7</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六类网络信息面板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17</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六类非屏蔽双绞线</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600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全屋网络布线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18</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铝合金隔断移门 2.1*3.05</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6.4</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铝合金成品隔断门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19</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原有木隔断拆除</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28.67</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旧隔断拆除、垃圾清运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墙面墙纸铲除</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78</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原有墙纸铲除清理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墙面涂料出新</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360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腻子找平、三遍环保乳胶漆</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 xml:space="preserve">立邦 </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多乐士</w:t>
            </w:r>
            <w:r>
              <w:rPr>
                <w:rFonts w:hint="eastAsia" w:ascii="宋体" w:hAnsi="宋体" w:eastAsia="宋体" w:cs="宋体"/>
                <w:kern w:val="0"/>
                <w:sz w:val="24"/>
                <w:szCs w:val="24"/>
                <w:lang w:val="en-US" w:eastAsia="zh-CN" w:bidi="ar"/>
              </w:rPr>
              <w:t>、</w:t>
            </w:r>
            <w:r>
              <w:rPr>
                <w:rFonts w:ascii="宋体" w:hAnsi="宋体" w:eastAsia="宋体" w:cs="宋体"/>
                <w:color w:val="000000" w:themeColor="text1"/>
                <w:kern w:val="0"/>
                <w:sz w:val="24"/>
                <w:lang w:bidi="ar"/>
                <w14:textFill>
                  <w14:solidFill>
                    <w14:schemeClr w14:val="tx1"/>
                  </w14:solidFill>
                </w14:textFill>
              </w:rPr>
              <w:t>三棵树</w:t>
            </w:r>
            <w:r>
              <w:rPr>
                <w:rFonts w:hint="eastAsia" w:ascii="宋体" w:hAnsi="宋体" w:eastAsia="宋体" w:cs="宋体"/>
                <w:color w:val="000000" w:themeColor="text1"/>
                <w:kern w:val="0"/>
                <w:sz w:val="24"/>
                <w:lang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22</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踢脚线</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m</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120</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配套成品踢脚线安装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23</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脚手架搭拆 + 办公室家具搬运</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项</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施工脚手架、全屋办公家具移位保护、完工归位</w:t>
            </w:r>
          </w:p>
        </w:tc>
      </w:tr>
    </w:tbl>
    <w:p>
      <w:pPr>
        <w:rPr>
          <w:rFonts w:hint="eastAsia"/>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sz w:val="24"/>
          <w:szCs w:val="24"/>
        </w:rPr>
      </w:pPr>
      <w:r>
        <w:rPr>
          <w:color w:val="000000"/>
          <w:sz w:val="24"/>
          <w:szCs w:val="24"/>
        </w:rPr>
        <w:t>六、施工要求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 实施地点：南京理工大学泰州科技学院敏行楼、躬行楼各指定办公室；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2. 采购内容：室内隔断新建拆除、墙面翻新、强弱电改造、灯具网络设备安装、门窗改造、脚手架、家具搬运、垃圾清运等全部施工内容，空调采购单独走跟标流程，不含在本次施工包干价内；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3. 工期要求：合同签订后 15 日历天内全部完工并一次性通过校方竣工验收；施工避开教学办公时段，做好成品保护，不得损坏办公设备、家具；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4. 质量标准：严格按照《建筑装饰装修工程质量验收标准》等国家现行规范施工，工程一次性验收合格，整体质保期不少于 2 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sz w:val="24"/>
          <w:szCs w:val="24"/>
        </w:rPr>
      </w:pPr>
      <w:r>
        <w:rPr>
          <w:color w:val="000000"/>
          <w:sz w:val="24"/>
          <w:szCs w:val="24"/>
        </w:rPr>
        <w:t>七、履约保证金及其他费用要求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 履约保证金金额：人民币</w:t>
      </w:r>
      <w:r>
        <w:rPr>
          <w:rFonts w:hint="eastAsia" w:ascii="宋体" w:hAnsi="宋体" w:eastAsia="宋体" w:cs="宋体"/>
          <w:color w:val="000000"/>
          <w:kern w:val="0"/>
          <w:sz w:val="24"/>
          <w:szCs w:val="24"/>
          <w:lang w:val="en-US" w:eastAsia="zh-CN" w:bidi="ar"/>
        </w:rPr>
        <w:t>2000</w:t>
      </w:r>
      <w:r>
        <w:rPr>
          <w:rFonts w:ascii="宋体" w:hAnsi="宋体" w:eastAsia="宋体" w:cs="宋体"/>
          <w:color w:val="000000"/>
          <w:kern w:val="0"/>
          <w:sz w:val="24"/>
          <w:szCs w:val="24"/>
          <w:lang w:val="en-US" w:eastAsia="zh-CN" w:bidi="ar"/>
        </w:rPr>
        <w:t xml:space="preserve">元。成交供应商须在签订正式合同前以银行汇款方式足额缴纳（汇款备注：项目编号 2026.049 + 二级教学科研单位办公室改造项目）。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开户名：南京理工大学泰州科技学院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开户行：交通银行泰州市新区支行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1200" w:firstLineChars="5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帐 号：384060400018170013220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退还规则：项目全部竣工、通过校方联合验收且完整移交全部竣工资料后 15 个工作日内，无息全额退还履约保证金；质保金单独按本文件第八条、第十条结算条款执行，履约保证金与质量保证金互不混淆。若施工阶段发生工期、质量、转包等违约情形，校方有权从履约保证金抵扣对应违约金、损失费用，不足部分另行追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 中标服务费：本次项目收取中标服务费陆佰元（¥600 元），由成交供应商在领取成交通知书时一次性支付。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八、售后质保保障条款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themeColor="text1"/>
          <w:kern w:val="0"/>
          <w:sz w:val="24"/>
          <w:szCs w:val="24"/>
          <w:lang w:val="en-US" w:eastAsia="zh-CN" w:bidi="ar"/>
          <w14:textFill>
            <w14:solidFill>
              <w14:schemeClr w14:val="tx1"/>
            </w14:solidFill>
          </w14:textFill>
        </w:rPr>
        <w:t>1. 整体质保期限：自项目全部竣工验收合格当日起整体质保 2 年；</w:t>
      </w:r>
      <w:r>
        <w:rPr>
          <w:rFonts w:ascii="宋体" w:hAnsi="宋体" w:eastAsia="宋体" w:cs="宋体"/>
          <w:color w:val="000000" w:themeColor="text1"/>
          <w:sz w:val="24"/>
          <w:szCs w:val="24"/>
          <w14:textFill>
            <w14:solidFill>
              <w14:schemeClr w14:val="tx1"/>
            </w14:solidFill>
          </w14:textFill>
        </w:rPr>
        <w:t>预留结算总价 5% 作为质量保证金</w:t>
      </w:r>
      <w:r>
        <w:rPr>
          <w:rFonts w:hint="eastAsia"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质保期内墙体、隔断、乳胶漆、灯具、强弱电</w:t>
      </w:r>
      <w:r>
        <w:rPr>
          <w:rFonts w:ascii="宋体" w:hAnsi="宋体" w:eastAsia="宋体" w:cs="宋体"/>
          <w:color w:val="000000"/>
          <w:kern w:val="0"/>
          <w:sz w:val="24"/>
          <w:szCs w:val="24"/>
          <w:lang w:val="en-US" w:eastAsia="zh-CN" w:bidi="ar"/>
        </w:rPr>
        <w:t xml:space="preserve">线路、网络设备等全部施工及配套材料出现开裂、脱落、损坏、断电、网络故障等，免费上门维修、更换材料，不收取人工费、材料费、交通费等任何费用。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2. 故障响应时效：校方报修后 2 小时内电话沟通核实故障，24 小时内施工技术人员抵达现场完成维修；断电、网络中断等影响办公的紧急故障 4 小时内到场抢修，保障办公室正常使用。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3. 定期巡检服务：质保期内每半年上门免费巡检 1 次，全面检查墙面、隔断、水电、网络、灯具使用状况，出具书面巡检记录，提前排查隐患。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4. 质保期满服务：质保到期后，成交供应商需提供终身成本价维修服务，同等材料、人工按成本收取，优先安排人员上门维修。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color w:val="000000"/>
          <w:sz w:val="24"/>
          <w:szCs w:val="24"/>
        </w:rPr>
      </w:pPr>
      <w:r>
        <w:rPr>
          <w:color w:val="000000"/>
          <w:sz w:val="24"/>
          <w:szCs w:val="24"/>
        </w:rPr>
        <w:t>九、违约责任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 工期违约：成交人未在合同约定工期内完成全部施工并通过校方竣工验收，每逾期 1 日按合同总价 </w:t>
      </w:r>
      <w:r>
        <w:rPr>
          <w:rFonts w:hint="eastAsia" w:ascii="宋体" w:hAnsi="宋体" w:eastAsia="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FF0000"/>
          <w:kern w:val="0"/>
          <w:sz w:val="24"/>
          <w:szCs w:val="24"/>
          <w:lang w:val="en-US" w:eastAsia="zh-CN" w:bidi="ar"/>
        </w:rPr>
        <w:t xml:space="preserve"> </w:t>
      </w:r>
      <w:r>
        <w:rPr>
          <w:rFonts w:ascii="宋体" w:hAnsi="宋体" w:eastAsia="宋体" w:cs="宋体"/>
          <w:color w:val="000000"/>
          <w:kern w:val="0"/>
          <w:sz w:val="24"/>
          <w:szCs w:val="24"/>
          <w:lang w:val="en-US" w:eastAsia="zh-CN" w:bidi="ar"/>
        </w:rPr>
        <w:t>向校方支付违约金；逾期超过 7 天，校方有权单方面解除合同，另行委托第三方完成剩余工程，由此产生的差价、办公损失、返工费用全部由原成交人承担，同时扣除全部未结算工程款及履约保证金。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2. 质量违约：施工工艺、材料品牌规格、施工厚度 / 尺寸不满足谈判文件及国家规范要求，成交人须 3 日内无条件免费返工整改，整改期间计入工期延误；两次整改后仍达不到验收标准，校方有权解除合同，成交人支付合同总价 20% 违约金，并赔偿校方办公延误、材料损耗全部损失。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3. 转包、分包违约：成交人擅自将本项目整体或部分施工内容转包、违法分包给第三方，校方立即终止合同，扣除全部未付工程款与履约保证金，成交人支付合同总价 30% 违约金，由此造成工期延误、质量缺陷、安全事故等一切损失均由成交人承担。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4. 售后违约：质保期内故障维修未按 24 小时时效到场，每逾期单次扣除质保</w:t>
      </w:r>
      <w:r>
        <w:rPr>
          <w:rFonts w:hint="eastAsia" w:ascii="宋体" w:hAnsi="宋体" w:eastAsia="宋体" w:cs="宋体"/>
          <w:color w:val="000000"/>
          <w:kern w:val="0"/>
          <w:sz w:val="24"/>
          <w:szCs w:val="24"/>
          <w:lang w:val="en-US" w:eastAsia="zh-CN" w:bidi="ar"/>
        </w:rPr>
        <w:t>金总额的</w:t>
      </w:r>
      <w:r>
        <w:rPr>
          <w:rFonts w:ascii="宋体" w:hAnsi="宋体" w:eastAsia="宋体" w:cs="宋体"/>
          <w:color w:val="000000"/>
          <w:kern w:val="0"/>
          <w:sz w:val="24"/>
          <w:szCs w:val="24"/>
          <w:lang w:val="en-US" w:eastAsia="zh-CN" w:bidi="ar"/>
        </w:rPr>
        <w:t xml:space="preserve"> 5%</w:t>
      </w:r>
      <w:r>
        <w:rPr>
          <w:rFonts w:hint="eastAsia" w:ascii="宋体" w:hAnsi="宋体" w:eastAsia="宋体" w:cs="宋体"/>
          <w:color w:val="000000"/>
          <w:kern w:val="0"/>
          <w:sz w:val="24"/>
          <w:szCs w:val="24"/>
          <w:lang w:val="en-US" w:eastAsia="zh-CN" w:bidi="ar"/>
        </w:rPr>
        <w:t>，</w:t>
      </w:r>
      <w:r>
        <w:rPr>
          <w:rFonts w:ascii="宋体" w:hAnsi="宋体" w:eastAsia="宋体" w:cs="宋体"/>
          <w:sz w:val="24"/>
          <w:szCs w:val="24"/>
        </w:rPr>
        <w:t>累计扣款最高不超过质保金总额</w:t>
      </w:r>
      <w:r>
        <w:rPr>
          <w:rFonts w:ascii="宋体" w:hAnsi="宋体" w:eastAsia="宋体" w:cs="宋体"/>
          <w:color w:val="000000"/>
          <w:kern w:val="0"/>
          <w:sz w:val="24"/>
          <w:szCs w:val="24"/>
          <w:lang w:val="en-US" w:eastAsia="zh-CN" w:bidi="ar"/>
        </w:rPr>
        <w:t xml:space="preserve">；因维修不及时造成办公室无法正常办公、教职工投诉，校方有权追偿全部经济损失。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5. 虚假材料违约：投标、施工阶段提供虚假资质证书、伪造业绩、以次充好使用劣质装修材料，直接取消中标资格或单方解除合同，成交人支付合同总价 25% 违约金，校方保留上报政府采购监管部门追责的权利。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6. 安全及校园管理违约：施工期间违规作业造成楼宇墙体、门窗、原有设施损毁，或发生人身伤害、财产安全事故，全部赔偿责任由成交人承担；施工噪音、粉尘、物料堆放影响正常办公秩序且拒不整改，校方有权暂停支付工程款并扣除违约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color w:val="000000"/>
          <w:sz w:val="24"/>
          <w:szCs w:val="24"/>
        </w:rPr>
      </w:pPr>
      <w:r>
        <w:rPr>
          <w:color w:val="000000"/>
          <w:sz w:val="24"/>
          <w:szCs w:val="24"/>
        </w:rPr>
        <w:t>十、其他采购要求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 投标报价为完整含税固定包干总价，包含拆除清运、隔断新建、墙面翻新、强弱电网络改造、灯具安装、脚手架、家具搬运、人工辅材、垃圾外运、安全文明施工、成品保护、2 年质保、税金、风险、踏勘等全部费用。评审在全部满足施工、工期、质保、违约等实质性条款前提下，选取有效总价最低供应商为成交单位。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kern w:val="0"/>
          <w:sz w:val="24"/>
          <w:szCs w:val="24"/>
          <w:lang w:val="en-US" w:eastAsia="zh-CN" w:bidi="ar"/>
        </w:rPr>
        <w:t>2. 结算方式：</w:t>
      </w:r>
      <w:r>
        <w:rPr>
          <w:rFonts w:ascii="宋体" w:hAnsi="宋体" w:eastAsia="宋体" w:cs="宋体"/>
          <w:color w:val="000000" w:themeColor="text1"/>
          <w:sz w:val="24"/>
          <w:szCs w:val="24"/>
          <w14:textFill>
            <w14:solidFill>
              <w14:schemeClr w14:val="tx1"/>
            </w14:solidFill>
          </w14:textFill>
        </w:rPr>
        <w:t>全部工程施工完毕、经学校资产与实验室管理处联合验收合格并提交完整竣工资料后，校方财务支付至结算总价 95%，</w:t>
      </w:r>
      <w:r>
        <w:rPr>
          <w:rStyle w:val="10"/>
          <w:rFonts w:ascii="宋体" w:hAnsi="宋体" w:eastAsia="宋体" w:cs="宋体"/>
          <w:color w:val="000000" w:themeColor="text1"/>
          <w:sz w:val="24"/>
          <w:szCs w:val="24"/>
          <w14:textFill>
            <w14:solidFill>
              <w14:schemeClr w14:val="tx1"/>
            </w14:solidFill>
          </w14:textFill>
        </w:rPr>
        <w:t>预留结算总价 5% 作为质量保证金</w:t>
      </w:r>
      <w:r>
        <w:rPr>
          <w:rFonts w:ascii="宋体" w:hAnsi="宋体" w:eastAsia="宋体" w:cs="宋体"/>
          <w:color w:val="000000" w:themeColor="text1"/>
          <w:sz w:val="24"/>
          <w:szCs w:val="24"/>
          <w14:textFill>
            <w14:solidFill>
              <w14:schemeClr w14:val="tx1"/>
            </w14:solidFill>
          </w14:textFill>
        </w:rPr>
        <w:t>；质保期满2年且无质量缺陷，校方无息全额返还质保金。报价为固定总价，若无校方书面重大变更，不再追加任何费用，供应商自行踏勘现场核算全部施工风险成本。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3. 统一现场踏勘时间：2026年7月</w:t>
      </w:r>
      <w:r>
        <w:rPr>
          <w:rFonts w:hint="eastAsia" w:ascii="宋体" w:hAnsi="宋体" w:eastAsia="宋体" w:cs="宋体"/>
          <w:color w:val="000000"/>
          <w:kern w:val="0"/>
          <w:sz w:val="24"/>
          <w:szCs w:val="24"/>
          <w:lang w:val="en-US" w:eastAsia="zh-CN" w:bidi="ar"/>
        </w:rPr>
        <w:t>29</w:t>
      </w:r>
      <w:r>
        <w:rPr>
          <w:rFonts w:ascii="宋体" w:hAnsi="宋体" w:eastAsia="宋体" w:cs="宋体"/>
          <w:color w:val="000000"/>
          <w:kern w:val="0"/>
          <w:sz w:val="24"/>
          <w:szCs w:val="24"/>
          <w:lang w:val="en-US" w:eastAsia="zh-CN" w:bidi="ar"/>
        </w:rPr>
        <w:t>日 8:30—2026年7月</w:t>
      </w:r>
      <w:r>
        <w:rPr>
          <w:rFonts w:hint="eastAsia" w:ascii="宋体" w:hAnsi="宋体" w:eastAsia="宋体" w:cs="宋体"/>
          <w:color w:val="000000"/>
          <w:kern w:val="0"/>
          <w:sz w:val="24"/>
          <w:szCs w:val="24"/>
          <w:lang w:val="en-US" w:eastAsia="zh-CN" w:bidi="ar"/>
        </w:rPr>
        <w:t>29</w:t>
      </w:r>
      <w:r>
        <w:rPr>
          <w:rFonts w:ascii="宋体" w:hAnsi="宋体" w:eastAsia="宋体" w:cs="宋体"/>
          <w:color w:val="000000"/>
          <w:kern w:val="0"/>
          <w:sz w:val="24"/>
          <w:szCs w:val="24"/>
          <w:lang w:val="en-US" w:eastAsia="zh-CN" w:bidi="ar"/>
        </w:rPr>
        <w:t xml:space="preserve">日 17:30，现场踏勘对接冯老师；本项目要求所有意向供应商必须到场踏勘并签署踏勘确认单，未参与现场踏勘的响应文件作无效处理；踏勘产生的交通、人工、安全责任全部由供应商自行承担，不安排补踏勘。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4. 报价截止时间：2026 年7月</w:t>
      </w:r>
      <w:r>
        <w:rPr>
          <w:rFonts w:hint="eastAsia" w:ascii="宋体" w:hAnsi="宋体" w:eastAsia="宋体" w:cs="宋体"/>
          <w:color w:val="000000"/>
          <w:kern w:val="0"/>
          <w:sz w:val="24"/>
          <w:szCs w:val="24"/>
          <w:lang w:val="en-US" w:eastAsia="zh-CN" w:bidi="ar"/>
        </w:rPr>
        <w:t>31</w:t>
      </w:r>
      <w:r>
        <w:rPr>
          <w:rFonts w:ascii="宋体" w:hAnsi="宋体" w:eastAsia="宋体" w:cs="宋体"/>
          <w:color w:val="000000"/>
          <w:kern w:val="0"/>
          <w:sz w:val="24"/>
          <w:szCs w:val="24"/>
          <w:lang w:val="en-US" w:eastAsia="zh-CN" w:bidi="ar"/>
        </w:rPr>
        <w:t>日下午 1</w:t>
      </w:r>
      <w:r>
        <w:rPr>
          <w:rFonts w:hint="eastAsia" w:ascii="宋体" w:hAnsi="宋体" w:eastAsia="宋体" w:cs="宋体"/>
          <w:color w:val="000000"/>
          <w:kern w:val="0"/>
          <w:sz w:val="24"/>
          <w:szCs w:val="24"/>
          <w:lang w:val="en-US" w:eastAsia="zh-CN" w:bidi="ar"/>
        </w:rPr>
        <w:t>5</w:t>
      </w:r>
      <w:r>
        <w:rPr>
          <w:rFonts w:ascii="宋体" w:hAnsi="宋体" w:eastAsia="宋体" w:cs="宋体"/>
          <w:color w:val="000000"/>
          <w:kern w:val="0"/>
          <w:sz w:val="24"/>
          <w:szCs w:val="24"/>
          <w:lang w:val="en-US" w:eastAsia="zh-CN" w:bidi="ar"/>
        </w:rPr>
        <w:t xml:space="preserve">:00，逾期递交响应文件视为自动放弃本次竞争性谈判资格。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t>5. 报价递交形式：密封现场报送，一式叁份（正本 1 份、副本 2 份），文件内需完整放置营业执照、装修资质、安全生产许可证、建造师及 B 证、报价明细表、各项承诺函</w:t>
      </w:r>
      <w:r>
        <w:rPr>
          <w:rFonts w:hint="eastAsia" w:ascii="宋体" w:hAnsi="宋体" w:eastAsia="宋体" w:cs="宋体"/>
          <w:b w:val="0"/>
          <w:bCs w:val="0"/>
          <w:color w:val="000000"/>
          <w:kern w:val="0"/>
          <w:sz w:val="24"/>
          <w:szCs w:val="24"/>
          <w:lang w:val="en-US" w:eastAsia="zh-CN" w:bidi="ar"/>
        </w:rPr>
        <w:t>、</w:t>
      </w:r>
      <w:r>
        <w:rPr>
          <w:rFonts w:hint="default" w:ascii="宋体" w:hAnsi="宋体" w:eastAsia="宋体" w:cs="宋体"/>
          <w:b w:val="0"/>
          <w:bCs w:val="0"/>
          <w:color w:val="000000"/>
          <w:kern w:val="0"/>
          <w:sz w:val="24"/>
          <w:szCs w:val="24"/>
          <w:lang w:val="en-US" w:eastAsia="zh-CN" w:bidi="ar"/>
        </w:rPr>
        <w:t xml:space="preserve">无在建工程承诺书等全套资料，所有证件原件校方有权现场核查。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6. 分项报价要求：供应商必须完整对本项目全部施工内容统一总价报价，仅对部分房间、分项工程报价的，按废标处理。</w:t>
      </w:r>
      <w:r>
        <w:rPr>
          <w:rFonts w:hint="eastAsia" w:ascii="宋体" w:hAnsi="宋体" w:eastAsia="宋体" w:cs="宋体"/>
          <w:color w:val="000000"/>
          <w:kern w:val="0"/>
          <w:sz w:val="24"/>
          <w:szCs w:val="24"/>
          <w:lang w:val="en-US" w:eastAsia="zh-CN" w:bidi="ar"/>
        </w:rPr>
        <w:t>报价表必须采用该公告附件中的报价表形式，不允许任意修改删减，否则作废标处理。</w:t>
      </w:r>
      <w:r>
        <w:rPr>
          <w:rFonts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7. 文件签章与到场要求：投标报价表须加盖单位公章并完整标注供应商全称；供应商法定代表人或授权委托人必须到场参与现场二次报价，未到场者自动丧失谈判资格。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8、工程变更计价： 本项目为固定包干价，仅甲方出具书面变更单方可调整价款；清单内项目按原有综合单价增减，无对应子目双方协商定价，无书面变更不予结算增项费用。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报送地址：南京理工大学泰州科技学院招投标办公室（明德楼 4105-1）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招标联系人：奚老师 联系电话：15052398186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技术踏勘咨询：冯老师 联系电话：</w:t>
      </w:r>
      <w:r>
        <w:rPr>
          <w:rFonts w:hint="eastAsia" w:ascii="宋体" w:hAnsi="宋体" w:eastAsia="宋体" w:cs="宋体"/>
          <w:color w:val="000000" w:themeColor="text1"/>
          <w:kern w:val="0"/>
          <w:sz w:val="24"/>
          <w:szCs w:val="24"/>
          <w:lang w:val="en-US" w:eastAsia="zh-CN" w:bidi="ar"/>
          <w14:textFill>
            <w14:solidFill>
              <w14:schemeClr w14:val="tx1"/>
            </w14:solidFill>
          </w14:textFill>
        </w:rPr>
        <w:t>15850882718</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eastAsia="宋体" w:cs="宋体"/>
          <w:b/>
          <w:bCs/>
          <w:sz w:val="36"/>
          <w:szCs w:val="36"/>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ascii="宋体" w:hAnsi="宋体" w:eastAsia="宋体" w:cs="宋体"/>
          <w:b/>
          <w:bCs/>
          <w:sz w:val="36"/>
          <w:szCs w:val="36"/>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b/>
          <w:bCs/>
          <w:sz w:val="36"/>
          <w:szCs w:val="36"/>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b/>
          <w:bCs/>
          <w:sz w:val="36"/>
          <w:szCs w:val="36"/>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b w:val="0"/>
          <w:bCs w:val="0"/>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b w:val="0"/>
          <w:bCs w:val="0"/>
          <w:sz w:val="21"/>
          <w:szCs w:val="21"/>
        </w:rPr>
      </w:pPr>
      <w:r>
        <w:rPr>
          <w:rFonts w:ascii="宋体" w:hAnsi="宋体" w:eastAsia="宋体" w:cs="宋体"/>
          <w:b w:val="0"/>
          <w:bCs w:val="0"/>
          <w:sz w:val="21"/>
          <w:szCs w:val="21"/>
        </w:rPr>
        <w:t>附件</w:t>
      </w:r>
      <w:r>
        <w:rPr>
          <w:rFonts w:hint="eastAsia" w:ascii="宋体" w:hAnsi="宋体" w:eastAsia="宋体" w:cs="宋体"/>
          <w:b w:val="0"/>
          <w:bCs w:val="0"/>
          <w:sz w:val="21"/>
          <w:szCs w:val="21"/>
          <w:lang w:val="en-US" w:eastAsia="zh-CN"/>
        </w:rPr>
        <w:t>1</w:t>
      </w:r>
      <w:r>
        <w:rPr>
          <w:rFonts w:ascii="宋体" w:hAnsi="宋体" w:eastAsia="宋体" w:cs="宋体"/>
          <w:b w:val="0"/>
          <w:bCs w:val="0"/>
          <w:sz w:val="21"/>
          <w:szCs w:val="21"/>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宋体" w:hAnsi="宋体" w:eastAsia="宋体" w:cs="宋体"/>
          <w:b/>
          <w:bCs/>
          <w:sz w:val="32"/>
          <w:szCs w:val="32"/>
        </w:rPr>
      </w:pPr>
      <w:r>
        <w:rPr>
          <w:rFonts w:ascii="宋体" w:hAnsi="宋体" w:eastAsia="宋体" w:cs="宋体"/>
          <w:b/>
          <w:bCs/>
          <w:sz w:val="32"/>
          <w:szCs w:val="32"/>
        </w:rPr>
        <w:t>二级教学科研单位办公室改造项目报价表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b/>
          <w:bCs/>
          <w:sz w:val="24"/>
          <w:szCs w:val="24"/>
          <w:lang w:val="en-US" w:eastAsia="zh-CN"/>
        </w:rPr>
      </w:pPr>
      <w:r>
        <w:rPr>
          <w:rFonts w:hint="eastAsia" w:ascii="宋体" w:hAnsi="宋体" w:eastAsia="宋体" w:cs="宋体"/>
          <w:sz w:val="24"/>
          <w:szCs w:val="24"/>
          <w:lang w:val="en-US" w:eastAsia="zh-CN"/>
        </w:rPr>
        <w:t>地点：</w:t>
      </w:r>
      <w:r>
        <w:rPr>
          <w:rFonts w:ascii="宋体" w:hAnsi="宋体" w:eastAsia="宋体" w:cs="宋体"/>
          <w:sz w:val="24"/>
          <w:szCs w:val="24"/>
        </w:rPr>
        <w:t>敏行楼 A413、A414、A203躬行楼 508-1、马研部 A310</w:t>
      </w:r>
    </w:p>
    <w:tbl>
      <w:tblPr>
        <w:tblStyle w:val="8"/>
        <w:tblW w:w="47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00"/>
        <w:gridCol w:w="1281"/>
        <w:gridCol w:w="872"/>
        <w:gridCol w:w="1031"/>
        <w:gridCol w:w="1270"/>
        <w:gridCol w:w="1488"/>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序号</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项目名称</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工程量</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单位</w:t>
            </w:r>
          </w:p>
        </w:tc>
        <w:tc>
          <w:tcPr>
            <w:tcW w:w="1270"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单价（元）</w:t>
            </w:r>
          </w:p>
        </w:tc>
        <w:tc>
          <w:tcPr>
            <w:tcW w:w="1488"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合价（元）</w:t>
            </w: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b/>
                <w:bCs/>
              </w:rPr>
            </w:pPr>
            <w:r>
              <w:rPr>
                <w:rFonts w:ascii="宋体" w:hAnsi="宋体" w:eastAsia="宋体" w:cs="宋体"/>
                <w:b/>
                <w:bCs/>
                <w:kern w:val="0"/>
                <w:sz w:val="24"/>
                <w:szCs w:val="24"/>
                <w:lang w:val="en-US" w:eastAsia="zh-CN" w:bidi="ar"/>
              </w:rPr>
              <w:t>材料工艺及说明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28" w:hRule="atLeast"/>
        </w:trPr>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矿棉板顶拆除及恢复</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21</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原有矿棉板吊顶保护性拆除及恢复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嵌入式 LED 平板灯</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16</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套</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600*600 48W 成套灯具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9" w:hRule="atLeast"/>
        </w:trPr>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旧荧光灯拆除</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16</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套</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双火以内旧灯具拆除清运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32" w:hRule="atLeast"/>
        </w:trPr>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4</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轻钢龙骨石膏板隔断</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178</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含隔音棉、防锈腻子、三遍乳胶漆（立邦 、多乐士、</w:t>
            </w:r>
            <w:r>
              <w:rPr>
                <w:rFonts w:hint="eastAsia" w:ascii="宋体" w:hAnsi="宋体" w:eastAsia="宋体" w:cs="宋体"/>
                <w:color w:val="000000" w:themeColor="text1"/>
                <w:kern w:val="0"/>
                <w:sz w:val="21"/>
                <w:szCs w:val="21"/>
                <w:lang w:bidi="ar"/>
                <w14:textFill>
                  <w14:solidFill>
                    <w14:schemeClr w14:val="tx1"/>
                  </w14:solidFill>
                </w14:textFill>
              </w:rPr>
              <w:t>三棵树</w:t>
            </w:r>
            <w:r>
              <w:rPr>
                <w:rFonts w:hint="eastAsia" w:ascii="宋体" w:hAnsi="宋体" w:eastAsia="宋体" w:cs="宋体"/>
                <w:color w:val="000000" w:themeColor="text1"/>
                <w:kern w:val="0"/>
                <w:sz w:val="21"/>
                <w:szCs w:val="21"/>
                <w:lang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10A 五孔安全插座</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国标暗装阻燃插座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6</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16A 空调插座</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空调专用供电插座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7</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空调漏电保护开关</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单式三极漏电保护器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8</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实木复合门</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7.92</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900*2200 成品木门含五金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9</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PVC20 配管</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140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明敷阻燃线管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10</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PVC25 配管</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60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大功率设备线管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11</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BV2.5 照明配线</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460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铜芯照明线路穿管敷设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12</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BV4 动力配线</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210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空调动力线路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13</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86 型接线盒</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51</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暗装开关底盒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14</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砖墙开凿修复</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51</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底盒开槽、墙面修补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15</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千兆路由器</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8</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套</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办公网络主设备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16</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网络面板</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7</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个</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六类信息面板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17</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六类双绞线</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600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全屋网络布线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18</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铝合金隔断移门</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6.4</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2.1m*3.05m 铝合金成品移门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19</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原有木隔断拆除</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28.67</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旧隔断拆除、垃圾清运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20</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墙面墙纸铲除</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78</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原有墙纸铲除清理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21</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墙面涂料出新</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360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bidi="ar"/>
              </w:rPr>
              <w:t>腻子找平、三遍环保乳胶漆（立邦 、多乐士、</w:t>
            </w:r>
            <w:r>
              <w:rPr>
                <w:rFonts w:hint="eastAsia" w:ascii="宋体" w:hAnsi="宋体" w:eastAsia="宋体" w:cs="宋体"/>
                <w:color w:val="000000" w:themeColor="text1"/>
                <w:kern w:val="0"/>
                <w:sz w:val="21"/>
                <w:szCs w:val="21"/>
                <w:lang w:bidi="ar"/>
                <w14:textFill>
                  <w14:solidFill>
                    <w14:schemeClr w14:val="tx1"/>
                  </w14:solidFill>
                </w14:textFill>
              </w:rPr>
              <w:t>三棵树</w:t>
            </w:r>
            <w:r>
              <w:rPr>
                <w:rFonts w:hint="eastAsia" w:ascii="宋体" w:hAnsi="宋体" w:eastAsia="宋体" w:cs="宋体"/>
                <w:color w:val="000000" w:themeColor="text1"/>
                <w:kern w:val="0"/>
                <w:sz w:val="21"/>
                <w:szCs w:val="21"/>
                <w:lang w:eastAsia="zh-CN" w:bidi="ar"/>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22</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踢脚线</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120</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m</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配套成品踢脚线安装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00" w:type="dxa"/>
            <w:shd w:val="clear" w:color="auto" w:fill="auto"/>
            <w:tcMar>
              <w:top w:w="120" w:type="dxa"/>
              <w:left w:w="120" w:type="dxa"/>
              <w:bottom w:w="120" w:type="dxa"/>
              <w:right w:w="120" w:type="dxa"/>
            </w:tcMar>
            <w:vAlign w:val="center"/>
          </w:tcPr>
          <w:p>
            <w:pPr>
              <w:keepNext w:val="0"/>
              <w:keepLines w:val="0"/>
              <w:widowControl/>
              <w:suppressLineNumbers w:val="0"/>
              <w:jc w:val="left"/>
            </w:pPr>
            <w:r>
              <w:rPr>
                <w:rFonts w:ascii="宋体" w:hAnsi="宋体" w:eastAsia="宋体" w:cs="宋体"/>
                <w:kern w:val="0"/>
                <w:sz w:val="24"/>
                <w:szCs w:val="24"/>
                <w:lang w:val="en-US" w:eastAsia="zh-CN" w:bidi="ar"/>
              </w:rPr>
              <w:t>23</w:t>
            </w:r>
          </w:p>
        </w:tc>
        <w:tc>
          <w:tcPr>
            <w:tcW w:w="128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脚手架 + 家具搬运</w:t>
            </w:r>
          </w:p>
        </w:tc>
        <w:tc>
          <w:tcPr>
            <w:tcW w:w="87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w:t>
            </w:r>
          </w:p>
        </w:tc>
        <w:tc>
          <w:tcPr>
            <w:tcW w:w="1031"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项</w:t>
            </w:r>
          </w:p>
        </w:tc>
        <w:tc>
          <w:tcPr>
            <w:tcW w:w="1270"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488" w:type="dxa"/>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c>
          <w:tcPr>
            <w:tcW w:w="1712" w:type="dxa"/>
            <w:shd w:val="clear" w:color="auto" w:fill="auto"/>
            <w:tcMar>
              <w:top w:w="120" w:type="dxa"/>
              <w:left w:w="120" w:type="dxa"/>
              <w:bottom w:w="120" w:type="dxa"/>
              <w:right w:w="120" w:type="dxa"/>
            </w:tcMar>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施工脚手架、办公家具移位归位、成品保护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18" w:hRule="atLeast"/>
        </w:trPr>
        <w:tc>
          <w:tcPr>
            <w:tcW w:w="1781" w:type="dxa"/>
            <w:gridSpan w:val="2"/>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r>
              <w:rPr>
                <w:rFonts w:hint="eastAsia" w:ascii="宋体" w:hAnsi="宋体" w:eastAsia="宋体" w:cs="宋体"/>
                <w:sz w:val="21"/>
                <w:szCs w:val="21"/>
              </w:rPr>
              <w:t>含税总价（元）</w:t>
            </w:r>
          </w:p>
        </w:tc>
        <w:tc>
          <w:tcPr>
            <w:tcW w:w="6373" w:type="dxa"/>
            <w:gridSpan w:val="5"/>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81" w:type="dxa"/>
            <w:gridSpan w:val="2"/>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r>
              <w:rPr>
                <w:rFonts w:hint="eastAsia" w:ascii="宋体" w:hAnsi="宋体" w:eastAsia="宋体" w:cs="宋体"/>
                <w:sz w:val="21"/>
                <w:szCs w:val="21"/>
              </w:rPr>
              <w:t>二次报价（元）</w:t>
            </w:r>
          </w:p>
        </w:tc>
        <w:tc>
          <w:tcPr>
            <w:tcW w:w="6373" w:type="dxa"/>
            <w:gridSpan w:val="5"/>
            <w:shd w:val="clear" w:color="auto" w:fill="auto"/>
            <w:tcMar>
              <w:top w:w="120" w:type="dxa"/>
              <w:left w:w="120" w:type="dxa"/>
              <w:bottom w:w="120" w:type="dxa"/>
              <w:right w:w="120" w:type="dxa"/>
            </w:tcMar>
            <w:vAlign w:val="center"/>
          </w:tcPr>
          <w:p>
            <w:pPr>
              <w:jc w:val="left"/>
              <w:rPr>
                <w:rFonts w:hint="eastAsia" w:ascii="宋体" w:hAnsi="宋体" w:eastAsia="宋体" w:cs="宋体"/>
                <w:sz w:val="21"/>
                <w:szCs w:val="21"/>
              </w:rPr>
            </w:pPr>
          </w:p>
        </w:tc>
      </w:tr>
    </w:tbl>
    <w:p>
      <w:pPr>
        <w:spacing w:line="360" w:lineRule="auto"/>
        <w:rPr>
          <w:rFonts w:hint="eastAsia"/>
          <w:lang w:val="en-US" w:eastAsia="zh-CN"/>
        </w:rPr>
      </w:pPr>
    </w:p>
    <w:p>
      <w:pPr>
        <w:spacing w:line="360" w:lineRule="auto"/>
        <w:rPr>
          <w:rFonts w:hint="eastAsia"/>
          <w:lang w:val="en-US" w:eastAsia="zh-CN"/>
        </w:rPr>
      </w:pPr>
      <w:bookmarkStart w:id="1" w:name="_GoBack"/>
      <w:bookmarkEnd w:id="1"/>
      <w:r>
        <w:rPr>
          <w:rFonts w:hint="eastAsia"/>
          <w:lang w:val="en-US" w:eastAsia="zh-CN"/>
        </w:rPr>
        <w:t>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44"/>
          <w:szCs w:val="44"/>
        </w:rPr>
      </w:pPr>
      <w:r>
        <w:rPr>
          <w:color w:val="000000"/>
          <w:sz w:val="44"/>
          <w:szCs w:val="44"/>
        </w:rPr>
        <w:t>无在建工程承诺书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color w:val="000000"/>
          <w:sz w:val="28"/>
          <w:szCs w:val="28"/>
        </w:rPr>
      </w:pPr>
      <w:r>
        <w:rPr>
          <w:rFonts w:ascii="宋体" w:hAnsi="宋体" w:eastAsia="宋体" w:cs="宋体"/>
          <w:color w:val="000000"/>
          <w:kern w:val="0"/>
          <w:sz w:val="28"/>
          <w:szCs w:val="28"/>
          <w:lang w:val="en-US" w:eastAsia="zh-CN" w:bidi="ar"/>
        </w:rPr>
        <w:t>我公司自愿参加贵单位的南京理工大学泰州科技学院二级教学科研单位办公室改造项目的投标，并接受对我公司的资信审查，我公司承诺：根据贵单位（公司）提出的资信证明文件标准和要求，本公司没有因骗取中标或者严重违约以及发生重大工程质量、安全生产事故等问题，被有关部门暂停投标资格并在暂停期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color w:val="000000"/>
          <w:sz w:val="28"/>
          <w:szCs w:val="28"/>
        </w:rPr>
      </w:pPr>
      <w:r>
        <w:rPr>
          <w:rFonts w:ascii="宋体" w:hAnsi="宋体" w:eastAsia="宋体" w:cs="宋体"/>
          <w:color w:val="000000"/>
          <w:kern w:val="0"/>
          <w:sz w:val="28"/>
          <w:szCs w:val="28"/>
          <w:lang w:val="en-US" w:eastAsia="zh-CN" w:bidi="ar"/>
        </w:rPr>
        <w:t>拟任项目负责人_______________身份证号码_______________注册证书号______________，现阶段无任何在建工程项目，无多单位兼职执业。本公司递交的资信证明文件中的内容没有隐瞒、虚假、伪造等弄虚作假行为。发现该行为，贵公司可以拒绝我公司投标，如已中标，可取消我公司中标资格，并接受对我公司弄虚作假、违反公平和诚实信用原则做出的任何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40" w:firstLineChars="2300"/>
        <w:jc w:val="left"/>
        <w:rPr>
          <w:rFonts w:ascii="宋体" w:hAnsi="宋体" w:eastAsia="宋体" w:cs="宋体"/>
          <w:color w:val="000000"/>
          <w:kern w:val="0"/>
          <w:sz w:val="28"/>
          <w:szCs w:val="28"/>
          <w:lang w:val="en-US" w:eastAsia="zh-CN" w:bidi="ar"/>
        </w:rPr>
      </w:pPr>
      <w:r>
        <w:rPr>
          <w:rFonts w:ascii="宋体" w:hAnsi="宋体" w:eastAsia="宋体" w:cs="宋体"/>
          <w:color w:val="000000"/>
          <w:kern w:val="0"/>
          <w:sz w:val="28"/>
          <w:szCs w:val="28"/>
          <w:lang w:val="en-US" w:eastAsia="zh-CN" w:bidi="ar"/>
        </w:rPr>
        <w:t xml:space="preserve">（公章）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40" w:firstLineChars="2300"/>
        <w:jc w:val="left"/>
        <w:rPr>
          <w:color w:val="000000"/>
          <w:sz w:val="28"/>
          <w:szCs w:val="28"/>
        </w:rPr>
      </w:pPr>
      <w:r>
        <w:rPr>
          <w:rFonts w:ascii="宋体" w:hAnsi="宋体" w:eastAsia="宋体" w:cs="宋体"/>
          <w:color w:val="000000"/>
          <w:kern w:val="0"/>
          <w:sz w:val="28"/>
          <w:szCs w:val="28"/>
          <w:lang w:val="en-US" w:eastAsia="zh-CN" w:bidi="ar"/>
        </w:rPr>
        <w:t xml:space="preserve"> 年  月  日</w:t>
      </w:r>
    </w:p>
    <w:p>
      <w:pPr>
        <w:spacing w:line="360" w:lineRule="auto"/>
        <w:rPr>
          <w:rFonts w:hint="default"/>
          <w:lang w:val="en-US" w:eastAsia="zh-CN"/>
        </w:rPr>
      </w:pPr>
    </w:p>
    <w:p/>
    <w:p/>
    <w:p/>
    <w:p/>
    <w:p/>
    <w:p/>
    <w:p/>
    <w:p/>
    <w:p/>
    <w:p/>
    <w:p/>
    <w:p>
      <w:pPr>
        <w:pStyle w:val="6"/>
        <w:jc w:val="both"/>
        <w:rPr>
          <w:rFonts w:hint="eastAsia" w:hAnsi="宋体" w:eastAsia="宋体" w:cs="Times New Roman"/>
          <w:b w:val="0"/>
          <w:bCs/>
          <w:sz w:val="21"/>
          <w:szCs w:val="21"/>
          <w:lang w:val="en-US" w:eastAsia="zh-CN"/>
        </w:rPr>
      </w:pPr>
    </w:p>
    <w:p>
      <w:pPr>
        <w:pStyle w:val="6"/>
        <w:jc w:val="both"/>
        <w:rPr>
          <w:rFonts w:hint="default" w:hAnsi="宋体" w:eastAsia="宋体" w:cs="Times New Roman"/>
          <w:b w:val="0"/>
          <w:bCs/>
          <w:sz w:val="21"/>
          <w:szCs w:val="21"/>
          <w:lang w:val="en-US" w:eastAsia="zh-CN"/>
        </w:rPr>
      </w:pPr>
      <w:r>
        <w:rPr>
          <w:rFonts w:hint="eastAsia" w:hAnsi="宋体" w:eastAsia="宋体" w:cs="Times New Roman"/>
          <w:b w:val="0"/>
          <w:bCs/>
          <w:sz w:val="21"/>
          <w:szCs w:val="21"/>
          <w:lang w:val="en-US" w:eastAsia="zh-CN"/>
        </w:rPr>
        <w:t>附件3：</w:t>
      </w:r>
    </w:p>
    <w:p>
      <w:pPr>
        <w:pStyle w:val="6"/>
        <w:jc w:val="center"/>
        <w:rPr>
          <w:rFonts w:hAnsi="宋体" w:eastAsia="宋体" w:cs="Times New Roman"/>
          <w:b/>
          <w:sz w:val="36"/>
          <w:szCs w:val="36"/>
        </w:rPr>
      </w:pPr>
      <w:r>
        <w:rPr>
          <w:rFonts w:hint="eastAsia" w:hAnsi="宋体" w:eastAsia="宋体" w:cs="Times New Roman"/>
          <w:b/>
          <w:sz w:val="36"/>
          <w:szCs w:val="36"/>
        </w:rPr>
        <w:t>承诺书</w:t>
      </w:r>
    </w:p>
    <w:p>
      <w:pPr>
        <w:pStyle w:val="5"/>
        <w:rPr>
          <w:rFonts w:ascii="宋体" w:hAnsi="宋体" w:eastAsia="宋体" w:cs="Times New Roman"/>
          <w:sz w:val="24"/>
          <w:szCs w:val="24"/>
        </w:rPr>
      </w:pP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pPr>
        <w:pStyle w:val="6"/>
        <w:ind w:firstLine="480" w:firstLineChars="200"/>
        <w:rPr>
          <w:rFonts w:hAnsi="宋体" w:eastAsia="宋体" w:cs="宋体"/>
          <w:sz w:val="24"/>
          <w:szCs w:val="24"/>
        </w:rPr>
      </w:pPr>
      <w:r>
        <w:rPr>
          <w:rFonts w:hint="eastAsia"/>
          <w:sz w:val="24"/>
          <w:szCs w:val="24"/>
        </w:rPr>
        <w:t>我单位有幸参与</w:t>
      </w:r>
      <w:r>
        <w:rPr>
          <w:rFonts w:hint="eastAsia"/>
          <w:sz w:val="24"/>
          <w:szCs w:val="24"/>
          <w:u w:val="single"/>
        </w:rPr>
        <w:t xml:space="preserve">              </w:t>
      </w:r>
      <w:r>
        <w:rPr>
          <w:rFonts w:hint="eastAsia"/>
          <w:sz w:val="24"/>
          <w:szCs w:val="24"/>
        </w:rPr>
        <w:t>项目的投标，在此承诺符合以下条件：</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1、具备履行合同所必需的设备和专业技术能力；</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2、参加政府采购活动前3年内（成立时间不足三年的，可以自成立时间起）在经营活动中没有重大违法记录；</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3、至投标截止时间止，不存在以下情况：</w:t>
      </w:r>
    </w:p>
    <w:p>
      <w:pPr>
        <w:autoSpaceDE w:val="0"/>
        <w:autoSpaceDN w:val="0"/>
        <w:adjustRightInd w:val="0"/>
        <w:spacing w:line="360" w:lineRule="auto"/>
        <w:ind w:firstLine="482"/>
        <w:rPr>
          <w:rFonts w:ascii="宋体" w:hAnsi="宋体" w:eastAsia="宋体" w:cs="宋体"/>
          <w:sz w:val="24"/>
          <w:szCs w:val="24"/>
        </w:rPr>
      </w:pPr>
      <w:r>
        <w:rPr>
          <w:rFonts w:hint="eastAsia" w:ascii="宋体" w:hAnsi="宋体" w:eastAsia="宋体" w:cs="宋体"/>
          <w:sz w:val="24"/>
          <w:szCs w:val="24"/>
        </w:rPr>
        <w:t>（1）单位负责人为同一人或者存在直接控股、管理关系的不同投标人；</w:t>
      </w:r>
    </w:p>
    <w:p>
      <w:pPr>
        <w:autoSpaceDE w:val="0"/>
        <w:autoSpaceDN w:val="0"/>
        <w:adjustRightInd w:val="0"/>
        <w:spacing w:line="360" w:lineRule="auto"/>
        <w:ind w:firstLine="482"/>
        <w:rPr>
          <w:rFonts w:ascii="宋体" w:hAnsi="宋体" w:eastAsia="宋体" w:cs="宋体"/>
          <w:sz w:val="24"/>
          <w:szCs w:val="24"/>
        </w:rPr>
      </w:pPr>
      <w:r>
        <w:rPr>
          <w:rFonts w:hint="eastAsia" w:ascii="宋体" w:hAnsi="宋体" w:eastAsia="宋体" w:cs="宋体"/>
          <w:sz w:val="24"/>
          <w:szCs w:val="24"/>
        </w:rPr>
        <w:t>（2）被“信用中国”网站（www.creditchina.gov.cn）列入失信被执行人、重大税收违法案件当事人名单、严重违法失信行为记录名单的是指：投标人或其分支机构被“信用中国”网站（www.creditchina.gov.cn）列入失信被执行人的；</w:t>
      </w:r>
    </w:p>
    <w:p>
      <w:pPr>
        <w:pStyle w:val="5"/>
        <w:rPr>
          <w:rFonts w:ascii="宋体" w:hAnsi="宋体" w:eastAsia="宋体" w:cs="宋体"/>
          <w:color w:val="333333"/>
          <w:sz w:val="24"/>
          <w:szCs w:val="24"/>
          <w:shd w:val="clear" w:color="auto" w:fill="FFFFFF"/>
        </w:rPr>
      </w:pP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w:t>
      </w: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法定代表人或法定代表人授权代表（</w:t>
      </w:r>
      <w:r>
        <w:rPr>
          <w:rFonts w:hint="eastAsia" w:ascii="宋体" w:hAnsi="宋体"/>
          <w:sz w:val="24"/>
          <w:szCs w:val="24"/>
        </w:rPr>
        <w:t>盖章或签字</w:t>
      </w:r>
      <w:r>
        <w:rPr>
          <w:rFonts w:hint="eastAsia" w:ascii="宋体" w:hAnsi="宋体" w:eastAsia="宋体"/>
          <w:sz w:val="24"/>
          <w:szCs w:val="24"/>
        </w:rPr>
        <w:t>）：</w:t>
      </w: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5C99D"/>
    <w:multiLevelType w:val="singleLevel"/>
    <w:tmpl w:val="ABE5C99D"/>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B5009"/>
    <w:rsid w:val="07AD4DA1"/>
    <w:rsid w:val="08EA344D"/>
    <w:rsid w:val="0A3B1451"/>
    <w:rsid w:val="104634B9"/>
    <w:rsid w:val="114C6A03"/>
    <w:rsid w:val="117C42E9"/>
    <w:rsid w:val="12691DEF"/>
    <w:rsid w:val="13687B15"/>
    <w:rsid w:val="15AA3B1E"/>
    <w:rsid w:val="19B66C5D"/>
    <w:rsid w:val="1C3204A8"/>
    <w:rsid w:val="1D610EEE"/>
    <w:rsid w:val="1E470EDA"/>
    <w:rsid w:val="22C074FD"/>
    <w:rsid w:val="2392741A"/>
    <w:rsid w:val="243502C6"/>
    <w:rsid w:val="26821620"/>
    <w:rsid w:val="287F761F"/>
    <w:rsid w:val="28B876B6"/>
    <w:rsid w:val="28D72C5E"/>
    <w:rsid w:val="2B117CEF"/>
    <w:rsid w:val="2B125770"/>
    <w:rsid w:val="2B446F18"/>
    <w:rsid w:val="2BC3502B"/>
    <w:rsid w:val="2EC61705"/>
    <w:rsid w:val="2F8938A9"/>
    <w:rsid w:val="2FEA7ED5"/>
    <w:rsid w:val="300C470A"/>
    <w:rsid w:val="314D0FEE"/>
    <w:rsid w:val="31E87249"/>
    <w:rsid w:val="323E5E8E"/>
    <w:rsid w:val="35226A50"/>
    <w:rsid w:val="387F56F4"/>
    <w:rsid w:val="393A2089"/>
    <w:rsid w:val="3BC3440E"/>
    <w:rsid w:val="3C7456C5"/>
    <w:rsid w:val="3CD86E97"/>
    <w:rsid w:val="3F6F1621"/>
    <w:rsid w:val="40482B8D"/>
    <w:rsid w:val="40751A7F"/>
    <w:rsid w:val="428D28C6"/>
    <w:rsid w:val="43B3023C"/>
    <w:rsid w:val="4430188F"/>
    <w:rsid w:val="44DA0EF5"/>
    <w:rsid w:val="45E97681"/>
    <w:rsid w:val="484940EC"/>
    <w:rsid w:val="4853667C"/>
    <w:rsid w:val="49A11818"/>
    <w:rsid w:val="4DDD43A5"/>
    <w:rsid w:val="4E23111B"/>
    <w:rsid w:val="4E49561D"/>
    <w:rsid w:val="4EE50020"/>
    <w:rsid w:val="50062C4A"/>
    <w:rsid w:val="504862F6"/>
    <w:rsid w:val="53B83A2F"/>
    <w:rsid w:val="56517C46"/>
    <w:rsid w:val="59F85FA2"/>
    <w:rsid w:val="5F0B5A16"/>
    <w:rsid w:val="5F1222C4"/>
    <w:rsid w:val="62AE361E"/>
    <w:rsid w:val="63CC3E92"/>
    <w:rsid w:val="68053279"/>
    <w:rsid w:val="689337CA"/>
    <w:rsid w:val="68B3681A"/>
    <w:rsid w:val="68EB123C"/>
    <w:rsid w:val="72BE0648"/>
    <w:rsid w:val="740251D9"/>
    <w:rsid w:val="74DB5BEC"/>
    <w:rsid w:val="751570C7"/>
    <w:rsid w:val="75D85697"/>
    <w:rsid w:val="76502084"/>
    <w:rsid w:val="78FF0268"/>
    <w:rsid w:val="79934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after="120"/>
    </w:pPr>
    <w:rPr>
      <w:sz w:val="15"/>
    </w:rPr>
  </w:style>
  <w:style w:type="paragraph" w:customStyle="1" w:styleId="6">
    <w:name w:val="style4"/>
    <w:basedOn w:val="1"/>
    <w:next w:val="7"/>
    <w:qFormat/>
    <w:uiPriority w:val="99"/>
    <w:pPr>
      <w:widowControl/>
      <w:spacing w:before="280" w:after="280"/>
    </w:pPr>
    <w:rPr>
      <w:rFonts w:ascii="宋体"/>
      <w:sz w:val="18"/>
    </w:rPr>
  </w:style>
  <w:style w:type="paragraph" w:customStyle="1" w:styleId="7">
    <w:name w:val="2"/>
    <w:next w:val="1"/>
    <w:qFormat/>
    <w:uiPriority w:val="99"/>
    <w:pPr>
      <w:widowControl w:val="0"/>
      <w:jc w:val="both"/>
    </w:pPr>
    <w:rPr>
      <w:rFonts w:ascii="Calibri" w:hAnsi="Calibri" w:eastAsia="宋体" w:cs="Times New Roman"/>
      <w:sz w:val="21"/>
      <w:szCs w:val="22"/>
      <w:lang w:val="en-US" w:eastAsia="zh-CN" w:bidi="ar-SA"/>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4020</Words>
  <Characters>4392</Characters>
  <Lines>0</Lines>
  <Paragraphs>0</Paragraphs>
  <TotalTime>22</TotalTime>
  <ScaleCrop>false</ScaleCrop>
  <LinksUpToDate>false</LinksUpToDate>
  <CharactersWithSpaces>4596</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2026-07-15T08:02:00Z</dcterms:created>
  <dc:creator>Lenovo</dc:creator>
  <cp:lastModifiedBy>Lenovo</cp:lastModifiedBy>
  <dcterms:modified xsi:type="dcterms:W3CDTF">2026-07-27T03:28:08Z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eyJoZGlkIjoiYWMyZGY0MWVkM2Y4NTA3OWU5ZjFiYWYyZGI4Y2IwNzAiLCJ1c2VySWQiOiI3NDY2MTc2NTIifQ==</vt:lpwstr>
  </property>
  <property fmtid="{D5CDD505-2E9C-101B-9397-08002B2CF9AE}" pid="4" name="ICV">
    <vt:lpwstr>AF4B8E1F98C848A4B25B8F470A8B1EB6_12</vt:lpwstr>
  </property>
</Properties>
</file>