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color w:val="000000"/>
          <w:sz w:val="32"/>
          <w:szCs w:val="32"/>
        </w:rPr>
      </w:pPr>
      <w:r>
        <w:rPr>
          <w:color w:val="000000"/>
          <w:sz w:val="32"/>
          <w:szCs w:val="32"/>
        </w:rPr>
        <w:t>南京理工大学泰州科技学院</w:t>
      </w:r>
      <w:r>
        <w:rPr>
          <w:rFonts w:hint="eastAsia"/>
          <w:color w:val="000000"/>
          <w:sz w:val="32"/>
          <w:szCs w:val="32"/>
          <w:lang w:val="en-US" w:eastAsia="zh-CN"/>
        </w:rPr>
        <w:t>躬行楼屋面水翻新维修改造</w:t>
      </w:r>
      <w:r>
        <w:rPr>
          <w:color w:val="000000"/>
          <w:sz w:val="32"/>
          <w:szCs w:val="32"/>
        </w:rPr>
        <w:t>竞争性谈判公告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color w:val="000000"/>
          <w:sz w:val="24"/>
          <w:szCs w:val="24"/>
        </w:rPr>
      </w:pPr>
      <w:bookmarkStart w:id="0" w:name="OLE_LINK1"/>
      <w:r>
        <w:rPr>
          <w:rFonts w:ascii="宋体" w:hAnsi="宋体" w:eastAsia="宋体" w:cs="宋体"/>
          <w:color w:val="000000"/>
          <w:kern w:val="0"/>
          <w:sz w:val="24"/>
          <w:szCs w:val="24"/>
          <w:lang w:val="en-US" w:eastAsia="zh-CN" w:bidi="ar"/>
        </w:rPr>
        <w:t>根据《南京理工大学泰州科技学院采购管理办法》的规定，拟对以下货物及服务以竞争性谈判方式采购，邀请有兴趣且符合资格条件的供应商，在接受本项目所有条款要求的基础上参加。</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b w:val="0"/>
          <w:bCs w:val="0"/>
          <w:color w:val="000000"/>
          <w:sz w:val="24"/>
          <w:szCs w:val="24"/>
        </w:rPr>
      </w:pPr>
      <w:r>
        <w:rPr>
          <w:color w:val="000000"/>
          <w:sz w:val="24"/>
          <w:szCs w:val="24"/>
        </w:rPr>
        <w:t>项目名称</w:t>
      </w:r>
      <w:r>
        <w:rPr>
          <w:rFonts w:hint="eastAsia"/>
          <w:color w:val="000000"/>
          <w:sz w:val="24"/>
          <w:szCs w:val="24"/>
          <w:lang w:eastAsia="zh-CN"/>
        </w:rPr>
        <w:t>：</w:t>
      </w:r>
      <w:r>
        <w:rPr>
          <w:rFonts w:hint="eastAsia"/>
          <w:b w:val="0"/>
          <w:bCs w:val="0"/>
          <w:color w:val="000000"/>
          <w:sz w:val="24"/>
          <w:szCs w:val="24"/>
          <w:lang w:val="en-US" w:eastAsia="zh-CN"/>
        </w:rPr>
        <w:t>躬行楼屋面防水翻新维修改造</w:t>
      </w:r>
      <w:r>
        <w:rPr>
          <w:b w:val="0"/>
          <w:bCs w:val="0"/>
          <w:color w:val="000000"/>
          <w:sz w:val="24"/>
          <w:szCs w:val="24"/>
        </w:rPr>
        <w:t>项目</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b w:val="0"/>
          <w:bCs w:val="0"/>
          <w:color w:val="000000"/>
          <w:sz w:val="24"/>
          <w:szCs w:val="24"/>
        </w:rPr>
      </w:pPr>
      <w:r>
        <w:rPr>
          <w:color w:val="000000"/>
          <w:sz w:val="24"/>
          <w:szCs w:val="24"/>
        </w:rPr>
        <w:t>项目编号：</w:t>
      </w:r>
      <w:r>
        <w:rPr>
          <w:rFonts w:hint="eastAsia"/>
          <w:b w:val="0"/>
          <w:bCs w:val="0"/>
          <w:color w:val="000000"/>
          <w:sz w:val="24"/>
          <w:szCs w:val="24"/>
          <w:lang w:val="en-US" w:eastAsia="zh-CN"/>
        </w:rPr>
        <w:t>2026.059</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b w:val="0"/>
          <w:bCs w:val="0"/>
          <w:color w:val="000000"/>
          <w:sz w:val="24"/>
          <w:szCs w:val="24"/>
        </w:rPr>
      </w:pPr>
      <w:r>
        <w:rPr>
          <w:color w:val="000000"/>
          <w:sz w:val="24"/>
          <w:szCs w:val="24"/>
        </w:rPr>
        <w:t>项目预算</w:t>
      </w:r>
      <w:r>
        <w:rPr>
          <w:rFonts w:hint="eastAsia"/>
          <w:color w:val="000000"/>
          <w:sz w:val="24"/>
          <w:szCs w:val="24"/>
          <w:lang w:eastAsia="zh-CN"/>
        </w:rPr>
        <w:t>：</w:t>
      </w:r>
      <w:r>
        <w:rPr>
          <w:rFonts w:hint="eastAsia"/>
          <w:color w:val="000000"/>
          <w:sz w:val="24"/>
          <w:szCs w:val="24"/>
          <w:lang w:val="en-US" w:eastAsia="zh-CN"/>
        </w:rPr>
        <w:t xml:space="preserve"> </w:t>
      </w:r>
      <w:r>
        <w:rPr>
          <w:rFonts w:hint="eastAsia"/>
          <w:b w:val="0"/>
          <w:bCs w:val="0"/>
          <w:color w:val="000000"/>
          <w:sz w:val="24"/>
          <w:szCs w:val="24"/>
          <w:lang w:val="en-US" w:eastAsia="zh-CN"/>
        </w:rPr>
        <w:t>97905</w:t>
      </w:r>
      <w:r>
        <w:rPr>
          <w:b w:val="0"/>
          <w:bCs w:val="0"/>
          <w:color w:val="000000"/>
          <w:sz w:val="24"/>
          <w:szCs w:val="24"/>
        </w:rPr>
        <w:t xml:space="preserve"> 元（含税包干总价，投标总价不得超过本限价，超限价按废标处理）</w:t>
      </w:r>
    </w:p>
    <w:p>
      <w:pPr>
        <w:rPr>
          <w:rFonts w:hint="default"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四、工程项目清单</w:t>
      </w:r>
    </w:p>
    <w:tbl>
      <w:tblPr>
        <w:tblStyle w:val="8"/>
        <w:tblW w:w="513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5"/>
        <w:gridCol w:w="822"/>
        <w:gridCol w:w="1605"/>
        <w:gridCol w:w="2180"/>
        <w:gridCol w:w="956"/>
        <w:gridCol w:w="687"/>
        <w:gridCol w:w="675"/>
        <w:gridCol w:w="13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b/>
                <w:bCs/>
                <w:i w:val="0"/>
                <w:iCs w:val="0"/>
                <w:color w:val="000000"/>
                <w:sz w:val="22"/>
                <w:szCs w:val="22"/>
                <w:u w:val="none"/>
                <w:lang w:val="en-US" w:eastAsia="zh-CN"/>
              </w:rPr>
            </w:pPr>
            <w:r>
              <w:rPr>
                <w:rFonts w:hint="eastAsia" w:ascii="微软雅黑" w:hAnsi="微软雅黑" w:eastAsia="微软雅黑" w:cs="微软雅黑"/>
                <w:b/>
                <w:bCs/>
                <w:i w:val="0"/>
                <w:iCs w:val="0"/>
                <w:color w:val="000000"/>
                <w:sz w:val="22"/>
                <w:szCs w:val="22"/>
                <w:u w:val="none"/>
                <w:lang w:val="en-US" w:eastAsia="zh-CN"/>
              </w:rPr>
              <w:t>序号</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b/>
                <w:bCs/>
                <w:i w:val="0"/>
                <w:iCs w:val="0"/>
                <w:color w:val="000000"/>
                <w:sz w:val="22"/>
                <w:szCs w:val="22"/>
                <w:u w:val="none"/>
                <w:lang w:val="en-US" w:eastAsia="zh-CN"/>
              </w:rPr>
            </w:pPr>
            <w:r>
              <w:rPr>
                <w:rFonts w:hint="eastAsia" w:ascii="微软雅黑" w:hAnsi="微软雅黑" w:eastAsia="微软雅黑" w:cs="微软雅黑"/>
                <w:b/>
                <w:bCs/>
                <w:i w:val="0"/>
                <w:iCs w:val="0"/>
                <w:color w:val="000000"/>
                <w:sz w:val="22"/>
                <w:szCs w:val="22"/>
                <w:u w:val="none"/>
                <w:lang w:val="en-US" w:eastAsia="zh-CN"/>
              </w:rPr>
              <w:t>项目</w:t>
            </w:r>
          </w:p>
        </w:tc>
        <w:tc>
          <w:tcPr>
            <w:tcW w:w="9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品牌</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b/>
                <w:bCs/>
                <w:i w:val="0"/>
                <w:iCs w:val="0"/>
                <w:color w:val="000000"/>
                <w:sz w:val="22"/>
                <w:szCs w:val="22"/>
                <w:u w:val="none"/>
                <w:lang w:val="en-US"/>
              </w:rPr>
            </w:pPr>
            <w:r>
              <w:rPr>
                <w:rFonts w:hint="eastAsia" w:ascii="微软雅黑" w:hAnsi="微软雅黑" w:eastAsia="微软雅黑" w:cs="微软雅黑"/>
                <w:b/>
                <w:bCs/>
                <w:i w:val="0"/>
                <w:iCs w:val="0"/>
                <w:color w:val="000000"/>
                <w:kern w:val="0"/>
                <w:sz w:val="22"/>
                <w:szCs w:val="22"/>
                <w:u w:val="none"/>
                <w:lang w:val="en-US" w:eastAsia="zh-CN" w:bidi="ar"/>
              </w:rPr>
              <w:t>规格（要求）</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themeColor="text1"/>
                <w:kern w:val="0"/>
                <w:sz w:val="22"/>
                <w:szCs w:val="22"/>
                <w:u w:val="none"/>
                <w:lang w:val="en-US" w:eastAsia="zh-CN" w:bidi="ar"/>
                <w14:textFill>
                  <w14:solidFill>
                    <w14:schemeClr w14:val="tx1"/>
                  </w14:solidFill>
                </w14:textFill>
              </w:rPr>
              <w:t>综合单价</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数量</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单位</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b/>
                <w:bCs/>
                <w:i w:val="0"/>
                <w:iCs w:val="0"/>
                <w:color w:val="000000"/>
                <w:kern w:val="0"/>
                <w:sz w:val="22"/>
                <w:szCs w:val="22"/>
                <w:u w:val="none"/>
                <w:lang w:val="en-US" w:eastAsia="zh-CN" w:bidi="ar"/>
              </w:rPr>
            </w:pPr>
            <w:r>
              <w:rPr>
                <w:rFonts w:hint="eastAsia" w:ascii="微软雅黑" w:hAnsi="微软雅黑" w:eastAsia="微软雅黑" w:cs="微软雅黑"/>
                <w:b/>
                <w:bCs/>
                <w:i w:val="0"/>
                <w:iCs w:val="0"/>
                <w:color w:val="000000"/>
                <w:kern w:val="0"/>
                <w:sz w:val="22"/>
                <w:szCs w:val="22"/>
                <w:u w:val="none"/>
                <w:lang w:val="en-US" w:eastAsia="zh-CN" w:bidi="ar"/>
              </w:rPr>
              <w:t>小计（元）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清理屋面收缩缝</w:t>
            </w:r>
          </w:p>
        </w:tc>
        <w:tc>
          <w:tcPr>
            <w:tcW w:w="916"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left"/>
              <w:rPr>
                <w:rFonts w:hint="eastAsia" w:ascii="微软雅黑" w:hAnsi="微软雅黑" w:eastAsia="微软雅黑" w:cs="微软雅黑"/>
                <w:i w:val="0"/>
                <w:iCs w:val="0"/>
                <w:color w:val="000000"/>
                <w:sz w:val="20"/>
                <w:szCs w:val="20"/>
                <w:u w:val="none"/>
              </w:rPr>
            </w:pP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napToGrid w:val="0"/>
              <w:jc w:val="left"/>
              <w:rPr>
                <w:rFonts w:hint="eastAsia"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对屋面施工区域原防水层铲除、杂物清理。</w:t>
            </w:r>
          </w:p>
          <w:p>
            <w:pPr>
              <w:numPr>
                <w:ilvl w:val="0"/>
                <w:numId w:val="0"/>
              </w:numPr>
              <w:snapToGrid w:val="0"/>
              <w:jc w:val="left"/>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对收缩缝基层处理后，铺宽度为250mm以上防水卷材。</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 xml:space="preserve">9.5 </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350 </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米</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3325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防水卷材</w:t>
            </w:r>
          </w:p>
        </w:tc>
        <w:tc>
          <w:tcPr>
            <w:tcW w:w="916"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napToGrid w:val="0"/>
              <w:jc w:val="left"/>
              <w:textAlignment w:val="bottom"/>
              <w:rPr>
                <w:rFonts w:ascii="等线" w:hAnsi="等线" w:eastAsia="等线" w:cs="等线"/>
                <w:i w:val="0"/>
                <w:iCs w:val="0"/>
                <w:color w:val="000000"/>
                <w:sz w:val="22"/>
                <w:szCs w:val="22"/>
                <w:u w:val="none"/>
              </w:rPr>
            </w:pPr>
            <w:r>
              <w:rPr>
                <w:rFonts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东方雨虹太空堡、德高太空堡、立邦太空堡</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themeColor="text1"/>
                <w:kern w:val="0"/>
                <w:sz w:val="20"/>
                <w:szCs w:val="20"/>
                <w:highlight w:val="none"/>
                <w:u w:val="none"/>
                <w:lang w:val="en-US" w:eastAsia="zh-CN" w:bidi="ar"/>
                <w14:textFill>
                  <w14:solidFill>
                    <w14:schemeClr w14:val="tx1"/>
                  </w14:solidFill>
                </w14:textFill>
              </w:rPr>
              <w:t>3mm以上</w:t>
            </w:r>
            <w:r>
              <w:rPr>
                <w:rFonts w:hint="eastAsia" w:ascii="微软雅黑" w:hAnsi="微软雅黑" w:eastAsia="微软雅黑" w:cs="微软雅黑"/>
                <w:i w:val="0"/>
                <w:iCs w:val="0"/>
                <w:color w:val="000000"/>
                <w:kern w:val="0"/>
                <w:sz w:val="20"/>
                <w:szCs w:val="20"/>
                <w:u w:val="none"/>
                <w:lang w:val="en-US" w:eastAsia="zh-CN" w:bidi="ar"/>
              </w:rPr>
              <w:t>厚SBS改性沥青防水卷材一道</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基层处理（冷底油）</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50</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1,700 </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平方米</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themeColor="text1"/>
                <w:kern w:val="0"/>
                <w:sz w:val="20"/>
                <w:szCs w:val="20"/>
                <w:u w:val="none"/>
                <w:lang w:val="en-US" w:eastAsia="zh-CN" w:bidi="ar"/>
                <w14:textFill>
                  <w14:solidFill>
                    <w14:schemeClr w14:val="tx1"/>
                  </w14:solidFill>
                </w14:textFill>
              </w:rPr>
              <w:t>85000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屋面凿混凝土并修复</w:t>
            </w:r>
          </w:p>
        </w:tc>
        <w:tc>
          <w:tcPr>
            <w:tcW w:w="91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napToGrid w:val="0"/>
              <w:rPr>
                <w:rFonts w:hint="eastAsia" w:ascii="等线" w:hAnsi="等线" w:eastAsia="等线" w:cs="等线"/>
                <w:i w:val="0"/>
                <w:iCs w:val="0"/>
                <w:color w:val="000000"/>
                <w:sz w:val="22"/>
                <w:szCs w:val="22"/>
                <w:u w:val="none"/>
              </w:rPr>
            </w:pP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1、屋面漏水重点部位开槽（500mm)排水、阻水施工。</w:t>
            </w:r>
          </w:p>
          <w:p>
            <w:pPr>
              <w:keepNext w:val="0"/>
              <w:keepLines w:val="0"/>
              <w:widowControl/>
              <w:suppressLineNumbers w:val="0"/>
              <w:snapToGrid w:val="0"/>
              <w:jc w:val="left"/>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bidi="ar"/>
              </w:rPr>
              <w:t>2.混凝土种类：非泵送现浇。</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3、施工后恢复。</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30</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highlight w:val="none"/>
                <w:u w:val="none"/>
                <w:lang w:val="en-US" w:eastAsia="zh-CN" w:bidi="ar"/>
              </w:rPr>
              <w:t xml:space="preserve">70 </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米</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垃圾清运（外拉）</w:t>
            </w:r>
          </w:p>
        </w:tc>
        <w:tc>
          <w:tcPr>
            <w:tcW w:w="916"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left"/>
              <w:rPr>
                <w:rFonts w:hint="eastAsia" w:ascii="微软雅黑" w:hAnsi="微软雅黑" w:eastAsia="微软雅黑" w:cs="微软雅黑"/>
                <w:i w:val="0"/>
                <w:iCs w:val="0"/>
                <w:color w:val="000000"/>
                <w:sz w:val="20"/>
                <w:szCs w:val="20"/>
                <w:u w:val="none"/>
              </w:rPr>
            </w:pP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left"/>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对屋面施工前后产生的垃圾清理并外运。</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10</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350 </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平方米</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3500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5</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非固化防水涂料</w:t>
            </w:r>
          </w:p>
        </w:tc>
        <w:tc>
          <w:tcPr>
            <w:tcW w:w="9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东方雨虹、德高、立邦</w:t>
            </w: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对屋面重点漏水部位基层处理后刷防水粉料后铺防水卷材</w:t>
            </w: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30</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 xml:space="preserve">100 </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平方米</w:t>
            </w: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6</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themeColor="text1"/>
                <w:kern w:val="0"/>
                <w:sz w:val="20"/>
                <w:szCs w:val="20"/>
                <w:u w:val="none"/>
                <w:lang w:val="en-US" w:eastAsia="zh-CN" w:bidi="ar"/>
                <w14:textFill>
                  <w14:solidFill>
                    <w14:schemeClr w14:val="tx1"/>
                  </w14:solidFill>
                </w14:textFill>
              </w:rPr>
              <w:t>综合风险包干费</w:t>
            </w:r>
          </w:p>
        </w:tc>
        <w:tc>
          <w:tcPr>
            <w:tcW w:w="91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7</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合计</w:t>
            </w:r>
          </w:p>
        </w:tc>
        <w:tc>
          <w:tcPr>
            <w:tcW w:w="916"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left"/>
              <w:rPr>
                <w:rFonts w:hint="eastAsia" w:ascii="微软雅黑" w:hAnsi="微软雅黑" w:eastAsia="微软雅黑" w:cs="微软雅黑"/>
                <w:b/>
                <w:bCs/>
                <w:i w:val="0"/>
                <w:iCs w:val="0"/>
                <w:color w:val="000000"/>
                <w:sz w:val="20"/>
                <w:szCs w:val="20"/>
                <w:u w:val="none"/>
              </w:rPr>
            </w:pPr>
          </w:p>
        </w:tc>
        <w:tc>
          <w:tcPr>
            <w:tcW w:w="124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left"/>
              <w:rPr>
                <w:rFonts w:hint="eastAsia" w:ascii="微软雅黑" w:hAnsi="微软雅黑" w:eastAsia="微软雅黑" w:cs="微软雅黑"/>
                <w:b/>
                <w:bCs/>
                <w:i w:val="0"/>
                <w:iCs w:val="0"/>
                <w:color w:val="000000"/>
                <w:sz w:val="20"/>
                <w:szCs w:val="20"/>
                <w:u w:val="none"/>
              </w:rPr>
            </w:pPr>
          </w:p>
        </w:tc>
        <w:tc>
          <w:tcPr>
            <w:tcW w:w="54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b/>
                <w:bCs/>
                <w:i w:val="0"/>
                <w:iCs w:val="0"/>
                <w:color w:val="000000"/>
                <w:sz w:val="20"/>
                <w:szCs w:val="20"/>
                <w:u w:val="none"/>
              </w:rPr>
            </w:pP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b/>
                <w:bCs/>
                <w:i w:val="0"/>
                <w:iCs w:val="0"/>
                <w:color w:val="000000"/>
                <w:sz w:val="20"/>
                <w:szCs w:val="20"/>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b/>
                <w:bCs/>
                <w:i w:val="0"/>
                <w:iCs w:val="0"/>
                <w:color w:val="000000"/>
                <w:sz w:val="20"/>
                <w:szCs w:val="20"/>
                <w:u w:val="none"/>
              </w:rPr>
            </w:pPr>
          </w:p>
        </w:tc>
        <w:tc>
          <w:tcPr>
            <w:tcW w:w="786"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default" w:ascii="微软雅黑" w:hAnsi="微软雅黑" w:eastAsia="微软雅黑" w:cs="微软雅黑"/>
                <w:b/>
                <w:bCs/>
                <w:i w:val="0"/>
                <w:iCs w:val="0"/>
                <w:color w:val="000000"/>
                <w:sz w:val="20"/>
                <w:szCs w:val="20"/>
                <w:u w:val="none"/>
                <w:lang w:val="en-US" w:eastAsia="zh-CN"/>
              </w:rPr>
            </w:pPr>
            <w:r>
              <w:rPr>
                <w:rFonts w:hint="eastAsia" w:ascii="微软雅黑" w:hAnsi="微软雅黑" w:eastAsia="微软雅黑" w:cs="微软雅黑"/>
                <w:b/>
                <w:bCs/>
                <w:i w:val="0"/>
                <w:iCs w:val="0"/>
                <w:color w:val="000000"/>
                <w:sz w:val="20"/>
                <w:szCs w:val="20"/>
                <w:u w:val="none"/>
                <w:lang w:val="en-US" w:eastAsia="zh-CN"/>
              </w:rPr>
              <w:t>97905</w:t>
            </w:r>
          </w:p>
        </w:tc>
      </w:tr>
    </w:tbl>
    <w:p>
      <w:pPr>
        <w:rPr>
          <w:rFonts w:ascii="宋体" w:hAnsi="宋体" w:eastAsia="宋体" w:cs="宋体"/>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备注：1.</w:t>
      </w:r>
      <w:r>
        <w:rPr>
          <w:rFonts w:ascii="宋体" w:hAnsi="宋体" w:eastAsia="宋体" w:cs="宋体"/>
          <w:color w:val="000000" w:themeColor="text1"/>
          <w:sz w:val="24"/>
          <w:szCs w:val="24"/>
          <w14:textFill>
            <w14:solidFill>
              <w14:schemeClr w14:val="tx1"/>
            </w14:solidFill>
          </w14:textFill>
        </w:rPr>
        <w:t>本项目综合单价已含税，差额 980 元为现场零星修补、小型机具损耗、不可预见零星人工等综合风险包干费用，不再另行计取税金、签证增项，全部包含在总价内。</w:t>
      </w:r>
    </w:p>
    <w:p>
      <w:pPr>
        <w:ind w:firstLine="480" w:firstLineChars="200"/>
        <w:rPr>
          <w:rFonts w:hint="default" w:eastAsiaTheme="minorEastAsia"/>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ascii="宋体" w:hAnsi="宋体" w:eastAsia="宋体" w:cs="宋体"/>
          <w:color w:val="000000" w:themeColor="text1"/>
          <w:sz w:val="24"/>
          <w:szCs w:val="24"/>
          <w14:textFill>
            <w14:solidFill>
              <w14:schemeClr w14:val="tx1"/>
            </w14:solidFill>
          </w14:textFill>
        </w:rPr>
        <w:t>本清单所有综合单价均为含税包干价，包含增值税、附加税费、人工、材料、机械、管理费、利润、安全文明、垃圾外运、质保维修等全部费用，投标人无需额外计取税金，总价不得超过 97905 元限价</w:t>
      </w:r>
      <w:bookmarkStart w:id="1" w:name="OLE_LINK2"/>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清单中的所有单项也不可以超预算</w:t>
      </w:r>
      <w:r>
        <w:rPr>
          <w:rFonts w:hint="eastAsia" w:ascii="宋体" w:hAnsi="宋体" w:eastAsia="宋体" w:cs="宋体"/>
          <w:color w:val="000000" w:themeColor="text1"/>
          <w:sz w:val="24"/>
          <w:szCs w:val="24"/>
          <w:lang w:eastAsia="zh-CN"/>
          <w14:textFill>
            <w14:solidFill>
              <w14:schemeClr w14:val="tx1"/>
            </w14:solidFill>
          </w14:textFill>
        </w:rPr>
        <w:t>）</w:t>
      </w:r>
      <w:bookmarkEnd w:id="1"/>
      <w:r>
        <w:rPr>
          <w:rFonts w:ascii="宋体" w:hAnsi="宋体" w:eastAsia="宋体" w:cs="宋体"/>
          <w:color w:val="000000" w:themeColor="text1"/>
          <w:sz w:val="24"/>
          <w:szCs w:val="24"/>
          <w14:textFill>
            <w14:solidFill>
              <w14:schemeClr w14:val="tx1"/>
            </w14:solidFill>
          </w14:textFill>
        </w:rPr>
        <w:t>。</w:t>
      </w:r>
    </w:p>
    <w:p>
      <w:pPr>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 xml:space="preserve">五、施工要求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（一）施工工期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1. 合同签订后</w:t>
      </w:r>
      <w:r>
        <w:rPr>
          <w:rFonts w:hint="eastAsia" w:ascii="宋体" w:hAnsi="宋体" w:eastAsia="宋体" w:cs="宋体"/>
          <w:color w:val="000000"/>
          <w:kern w:val="0"/>
          <w:sz w:val="24"/>
          <w:szCs w:val="24"/>
          <w:highlight w:val="none"/>
          <w:lang w:val="en-US" w:eastAsia="zh-CN" w:bidi="ar"/>
        </w:rPr>
        <w:t>20个日历日内，完</w:t>
      </w:r>
      <w:r>
        <w:rPr>
          <w:rFonts w:hint="eastAsia" w:ascii="宋体" w:hAnsi="宋体" w:eastAsia="宋体" w:cs="宋体"/>
          <w:color w:val="000000"/>
          <w:kern w:val="0"/>
          <w:sz w:val="24"/>
          <w:szCs w:val="24"/>
          <w:lang w:val="en-US" w:eastAsia="zh-CN" w:bidi="ar"/>
        </w:rPr>
        <w:t xml:space="preserve">成屋面防水维修区域的施工并通过校方联合验收。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2. 全部拆除产生的垃圾及废旧杂物由中标单位统一负责外运与清运处置。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3. </w:t>
      </w:r>
      <w:r>
        <w:rPr>
          <w:rFonts w:hint="eastAsia" w:ascii="宋体" w:hAnsi="宋体" w:eastAsia="宋体" w:cs="宋体"/>
          <w:color w:val="000000" w:themeColor="text1"/>
          <w:sz w:val="24"/>
          <w:szCs w:val="24"/>
          <w:lang w:val="en-US" w:eastAsia="zh-CN"/>
          <w14:textFill>
            <w14:solidFill>
              <w14:schemeClr w14:val="tx1"/>
            </w14:solidFill>
          </w14:textFill>
        </w:rPr>
        <w:t xml:space="preserve">投标人须充分踏勘现场，全面掌握屋面漏水点、施工面积等情况。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（二）施工依据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1. 《屋面工程质量验收规范》GB50207-2012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2. 《屋面工程技术规范》GB50345-2012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3. 《建筑施工高处作业安全技术规范》JGJ80（屋面高空作业专项依据）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4. 防水材料在以下品牌中选其一：</w:t>
      </w:r>
      <w:r>
        <w:rPr>
          <w:rFonts w:hint="eastAsia" w:ascii="宋体" w:hAnsi="宋体" w:eastAsia="宋体" w:cs="宋体"/>
          <w:color w:val="000000"/>
          <w:kern w:val="0"/>
          <w:sz w:val="24"/>
          <w:szCs w:val="24"/>
          <w:highlight w:val="none"/>
          <w:lang w:val="en-US" w:eastAsia="zh-CN" w:bidi="ar"/>
        </w:rPr>
        <w:t>东方雨虹太空堡、德高太空堡、立邦太空堡</w:t>
      </w:r>
      <w:r>
        <w:rPr>
          <w:rFonts w:hint="eastAsia" w:ascii="宋体" w:hAnsi="宋体" w:eastAsia="宋体" w:cs="宋体"/>
          <w:color w:val="000000"/>
          <w:kern w:val="0"/>
          <w:sz w:val="24"/>
          <w:szCs w:val="24"/>
          <w:lang w:val="en-US" w:eastAsia="zh-CN" w:bidi="ar"/>
        </w:rPr>
        <w:t>等厚度</w:t>
      </w:r>
      <w:r>
        <w:rPr>
          <w:rFonts w:hint="eastAsia" w:ascii="宋体" w:hAnsi="宋体" w:eastAsia="宋体" w:cs="宋体"/>
          <w:color w:val="000000"/>
          <w:kern w:val="0"/>
          <w:sz w:val="24"/>
          <w:szCs w:val="24"/>
          <w:highlight w:val="none"/>
          <w:lang w:val="en-US" w:eastAsia="zh-CN" w:bidi="ar"/>
        </w:rPr>
        <w:t>≥3mm的SBS防水卷材</w:t>
      </w:r>
      <w:r>
        <w:rPr>
          <w:rFonts w:hint="eastAsia" w:ascii="宋体" w:hAnsi="宋体" w:eastAsia="宋体" w:cs="宋体"/>
          <w:color w:val="000000"/>
          <w:kern w:val="0"/>
          <w:sz w:val="24"/>
          <w:szCs w:val="24"/>
          <w:lang w:val="en-US" w:eastAsia="zh-CN" w:bidi="ar"/>
        </w:rPr>
        <w:t xml:space="preserve">产品，施工技术标准参照相关规范执行。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5. 现场勘察记录与工程量以实际现场测量为准。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（三）施工准备工作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1. 现场实测屋面排水坡度、伸缩缝走向、女儿墙高度、阴阳角节点，核对止水梁与盖板长度。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2. 针对屋面临边高空作业、校园教学区降噪降尘要求，对施工班组开展专项技术及安全双交底。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3. 防水材料及室外非固化防水材料，需提供合格证与第三方检测报告，并配套基层处理剂、热熔密封膏、耐候密封胶。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（四）机具与人员配置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1. 施工机具：电镐、切割机、热熔卷材喷枪、除尘风机、抹灰工具、水平坡度尺、密闭渣土运输车、灭火器。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2. 作业班组：拆除清运班组、土建找平班组、防水专业班组、伸缩缝安装班组，并配置专职安全员与现场施工管理员。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（五）屋面高空及校园文明施工准备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1. 施工前向甲方或监理报备动火及高空作业许可，并错峰施工。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2. 建筑垃圾袋装封闭堆放，严禁从高空向下抛掷废渣。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（六）整体施工工艺流程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拆除原有屋面构造层后，重新浇筑混凝土找平层与防水层，修复并加固伸缩缝的防水盖板。作业流程为：细石混凝土找平层浇筑养护→基层处理剂涂刷→采用SBS改性沥青防水卷材进行热熔铺贴（施工包含阴阳角、止水梁附加层）→对伸缩缝不锈钢盖板做加固密封处理→完工后开展屋面整体蓄水闭水试验→最后进行细节部位修补与竣工验收。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（七）施工工艺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1. 施工人员需使用电镐分层凿除原有面层、失效保温层及破损旧防水层。作业过程中严禁使用重锤冲击，避免损伤楼板结构。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2. 施工范围内开凿至原始混凝土结构楼板，将所有松散、受潮、老化的构造材料全部清理干净。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3. 凿除完成后，打磨楼板表面凸起疙瘩，同时用修补砂浆提前封堵楼板的裂缝与孔洞并找平。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4. 所有施工废渣统一装入密封编织袋，集中堆放到屋面指定堆放区域，不得占用屋面排水通道。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5. 经施工电梯配合人工转运下楼后，使用密闭货运车辆完成外运。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6. 清运完成后，屋面无残留渣土，结构基面洁净、无浮灰。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7. 基层处理：找平层干燥度达标后，均匀涂刷配套基层处理剂，静置晾干至不粘手。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8. 附加加强层：在屋面阴阳角、伸缩缝止水梁根部、落水口、女儿墙泛水处，预先增设卷材附加防水层。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9. 热熔铺贴：采用热熔法施工防水卷材，卷材长边、短边搭接宽度分别不小于100mm、150mm，搭接缝热熔熔合饱满、完全密封。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10. 工程量控制：含平面满铺、女儿墙上翻（不得小于原防水层500mm）、伸缩缝加宽附加层。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11. 卷材收口处采用金属压条钉压固定，并用耐候密封膏封严。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12. 阴阳角节点：屋面阴阳角提前做成R50圆弧，增设卷材附加层，圆弧过渡，避免直角应力开裂。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13. 伸缩缝止水梁、女儿墙泛水：防水卷材向上翻边高度不低于250mm，密封处理，防止雨水沿墙体渗入，顶部用金属压条固定。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14. 落水口位置：落水口周边做锥形找坡，增设双层卷材附加层，保证排水通畅不积水。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（八）质量验收控制标准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1. 基层：结构楼板无破损、无松动浮渣，基面平整坚实。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 xml:space="preserve">2. 防水卷材热熔搭接严密，无空鼓、气泡、破损。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3. 闭水试验：全部防水构造完工后，屋面蓄水24小时，楼下室内顶板及伸缩缝下方无渗水、湿痕即为合格。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（九）屋面高空作业及校园安全文明保障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1. 高空防护：屋面临边全部搭设防护栏杆及安全网，屋面作业人员佩戴安全帽与安全带，禁止单人无防护临边作业；严禁向下抛掷建筑垃圾、工具材料。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2. 动火管控：热熔卷材动火作业须提前审批，作业面周边不得有易燃杂物，专人监护并常备灭火器，完工确认无火源后方可离场。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3. 降噪管控：教学上课时段停止电镐、切割机等高噪音工序，仅开展卷材铺贴、密封等低噪音作业。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4. 降尘环保：拆除施工全程采用雾炮喷淋，渣土封闭运输，避免污染校园道路及绿化。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5. 成品保护：防水保温完工后封闭屋面出入口，禁止人员踩踏或用尖锐硬物划伤卷材，养护期内不得堆放重物。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（十）养护与工期管理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1. 防水完工后，蓄水试验持续24小时，验收合格方可交付校方。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2. 流水施工安排：分段分区施工，减少屋面长时间封闭，降低对教学楼使用的影响；拆除、土建及防水工序错峰流水作业。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（十一）竣工验收流程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1. 资料整理：材料合格证、检测报告、隐蔽工程验收记录、24小时蓄水试验影像记录及工程量核对表。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2. 联合验收：学校基建、后勤管理部门现场核验各分项。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eastAsiaTheme="minorEastAsia"/>
          <w:lang w:eastAsia="zh-CN"/>
        </w:rPr>
      </w:pPr>
      <w:r>
        <w:rPr>
          <w:rFonts w:hint="eastAsia" w:ascii="宋体" w:hAnsi="宋体" w:eastAsia="宋体" w:cs="宋体"/>
          <w:color w:val="000000"/>
          <w:kern w:val="0"/>
          <w:sz w:val="24"/>
          <w:szCs w:val="24"/>
          <w:lang w:val="en-US" w:eastAsia="zh-CN" w:bidi="ar"/>
        </w:rPr>
        <w:t>3. 移交质保：验收合格后签署竣工移交文件，出具屋面防水工程质量承诺书。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宋体" w:hAnsi="宋体" w:eastAsia="宋体" w:cs="宋体"/>
          <w:color w:val="000000"/>
          <w:kern w:val="0"/>
          <w:sz w:val="24"/>
          <w:szCs w:val="24"/>
          <w:lang w:val="en-US" w:eastAsia="zh-CN" w:bidi="ar"/>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jc w:val="left"/>
        <w:textAlignment w:val="auto"/>
        <w:rPr>
          <w:rFonts w:hint="default" w:eastAsia="宋体"/>
          <w:color w:val="000000"/>
          <w:sz w:val="24"/>
          <w:szCs w:val="24"/>
          <w:lang w:val="en-US" w:eastAsia="zh-CN"/>
        </w:rPr>
      </w:pPr>
      <w:r>
        <w:rPr>
          <w:rFonts w:hint="eastAsia"/>
          <w:color w:val="000000"/>
          <w:sz w:val="24"/>
          <w:szCs w:val="24"/>
          <w:lang w:val="en-US" w:eastAsia="zh-CN"/>
        </w:rPr>
        <w:t>六</w:t>
      </w:r>
      <w:r>
        <w:rPr>
          <w:color w:val="000000"/>
          <w:sz w:val="24"/>
          <w:szCs w:val="24"/>
        </w:rPr>
        <w:t>、</w:t>
      </w:r>
      <w:r>
        <w:rPr>
          <w:rFonts w:hint="eastAsia"/>
          <w:color w:val="000000"/>
          <w:sz w:val="24"/>
          <w:szCs w:val="24"/>
          <w:lang w:val="en-US" w:eastAsia="zh-CN"/>
        </w:rPr>
        <w:t>履约保证金及其他要求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1.履约保证金金额：</w:t>
      </w:r>
      <w:r>
        <w:rPr>
          <w:rFonts w:hint="eastAsia" w:cs="宋体"/>
          <w:b w:val="0"/>
          <w:bCs w:val="0"/>
          <w:color w:val="000000" w:themeColor="text1"/>
          <w:kern w:val="0"/>
          <w:sz w:val="24"/>
          <w:szCs w:val="24"/>
          <w:lang w:val="en-US" w:eastAsia="zh-CN" w:bidi="ar"/>
          <w14:textFill>
            <w14:solidFill>
              <w14:schemeClr w14:val="tx1"/>
            </w14:solidFill>
          </w14:textFill>
        </w:rPr>
        <w:t>2000</w:t>
      </w: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元</w:t>
      </w:r>
      <w:r>
        <w:rPr>
          <w:rFonts w:hint="eastAsia" w:ascii="宋体" w:hAnsi="宋体" w:eastAsia="宋体" w:cs="宋体"/>
          <w:b w:val="0"/>
          <w:bCs w:val="0"/>
          <w:color w:val="000000"/>
          <w:kern w:val="0"/>
          <w:sz w:val="24"/>
          <w:szCs w:val="24"/>
          <w:lang w:val="en-US" w:eastAsia="zh-CN" w:bidi="ar"/>
        </w:rPr>
        <w:t>。以银行汇款等形式，在签订合同前递交（备注采购编号+项目名称）。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开户名：南京理工大学泰州科技学院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jc w:val="left"/>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  开户行：交通银行泰州市新区支行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jc w:val="left"/>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  帐 号：384060400018170013220</w:t>
      </w:r>
    </w:p>
    <w:p>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480" w:leftChars="0" w:right="0" w:firstLine="0" w:firstLineChars="0"/>
        <w:jc w:val="left"/>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本次招标收取陆佰元（¥600元）中标服务费，由中标人支付。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3. 履约保证金退还：项目全部施工完成、通过校方联合验收且全套竣工资料完整移交校方后 15 个工作日内，校方无息全额退还履约保证金。中标人发生本合同第九条约定各类违约行为的，校方有权直接从履约保证金内抵扣违约金、第三方维修差价、各类损失，抵扣后仍不足弥补校方损失的，校方有权向中标人继续追偿。</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right="0" w:rightChars="0"/>
        <w:jc w:val="left"/>
        <w:textAlignment w:val="auto"/>
        <w:outlineLvl w:val="1"/>
        <w:rPr>
          <w:color w:val="000000"/>
          <w:sz w:val="24"/>
          <w:szCs w:val="24"/>
        </w:rPr>
      </w:pPr>
      <w:r>
        <w:rPr>
          <w:rFonts w:hint="eastAsia"/>
          <w:color w:val="000000"/>
          <w:sz w:val="24"/>
          <w:szCs w:val="24"/>
          <w:lang w:val="en-US" w:eastAsia="zh-CN"/>
        </w:rPr>
        <w:t>七</w:t>
      </w:r>
      <w:r>
        <w:rPr>
          <w:color w:val="000000"/>
          <w:sz w:val="24"/>
          <w:szCs w:val="24"/>
        </w:rPr>
        <w:t>、资质要求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1. 具有独立承担民事责任的能力，提供有效营业执照复印件加盖公章；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hint="eastAsia" w:ascii="宋体" w:hAnsi="宋体" w:eastAsia="宋体" w:cs="宋体"/>
          <w:b w:val="0"/>
          <w:bCs w:val="0"/>
          <w:i w:val="0"/>
          <w:iCs w:val="0"/>
          <w:color w:val="000000"/>
          <w:spacing w:val="0"/>
          <w:w w:val="100"/>
          <w:sz w:val="24"/>
          <w:szCs w:val="24"/>
          <w:vertAlign w:val="baseline"/>
        </w:rPr>
        <w:t>2. 具备防水工程专业施工资质；</w:t>
      </w:r>
      <w:r>
        <w:rPr>
          <w:rFonts w:ascii="宋体" w:hAnsi="宋体" w:eastAsia="宋体" w:cs="宋体"/>
          <w:color w:val="000000"/>
          <w:kern w:val="0"/>
          <w:sz w:val="24"/>
          <w:szCs w:val="24"/>
          <w:lang w:val="en-US" w:eastAsia="zh-CN" w:bidi="ar"/>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default"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 xml:space="preserve"> </w:t>
      </w:r>
      <w:r>
        <w:rPr>
          <w:rFonts w:ascii="宋体" w:hAnsi="宋体" w:eastAsia="宋体" w:cs="宋体"/>
          <w:sz w:val="24"/>
          <w:szCs w:val="24"/>
        </w:rPr>
        <w:t>提供近年内防水施工项目业绩凭证（合同</w:t>
      </w:r>
      <w:r>
        <w:rPr>
          <w:rFonts w:hint="eastAsia" w:ascii="宋体" w:hAnsi="宋体" w:eastAsia="宋体" w:cs="宋体"/>
          <w:sz w:val="24"/>
          <w:szCs w:val="24"/>
          <w:lang w:val="en-US" w:eastAsia="zh-CN"/>
        </w:rPr>
        <w:t>或</w:t>
      </w:r>
      <w:r>
        <w:rPr>
          <w:rFonts w:ascii="宋体" w:hAnsi="宋体" w:eastAsia="宋体" w:cs="宋体"/>
          <w:sz w:val="24"/>
          <w:szCs w:val="24"/>
        </w:rPr>
        <w:t>竣工验收报告等），加盖单位公章</w:t>
      </w:r>
      <w:r>
        <w:rPr>
          <w:rFonts w:hint="eastAsia" w:ascii="宋体" w:hAnsi="宋体" w:eastAsia="宋体" w:cs="宋体"/>
          <w:b w:val="0"/>
          <w:bCs w:val="0"/>
          <w:i w:val="0"/>
          <w:iCs w:val="0"/>
          <w:color w:val="000000"/>
          <w:spacing w:val="0"/>
          <w:w w:val="100"/>
          <w:sz w:val="24"/>
          <w:szCs w:val="24"/>
          <w:vertAlign w:val="baseline"/>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4. 参加政府采购活动前 3 年内经营活动中没有重大违法记录；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color w:val="000000"/>
          <w:sz w:val="24"/>
          <w:szCs w:val="24"/>
        </w:rPr>
      </w:pPr>
      <w:r>
        <w:rPr>
          <w:rFonts w:ascii="宋体" w:hAnsi="宋体" w:eastAsia="宋体" w:cs="宋体"/>
          <w:color w:val="000000"/>
          <w:kern w:val="0"/>
          <w:sz w:val="24"/>
          <w:szCs w:val="24"/>
          <w:lang w:val="en-US" w:eastAsia="zh-CN" w:bidi="ar"/>
        </w:rPr>
        <w:t>5. 本项目</w:t>
      </w:r>
      <w:r>
        <w:rPr>
          <w:rStyle w:val="10"/>
          <w:rFonts w:ascii="宋体" w:hAnsi="宋体" w:eastAsia="宋体" w:cs="宋体"/>
          <w:color w:val="000000"/>
          <w:kern w:val="0"/>
          <w:sz w:val="24"/>
          <w:szCs w:val="24"/>
          <w:lang w:val="en-US" w:eastAsia="zh-CN" w:bidi="ar"/>
        </w:rPr>
        <w:t>不接受联合体投标、不允许联合承包，成交后严禁转包、违法分包</w:t>
      </w:r>
      <w:r>
        <w:rPr>
          <w:rFonts w:ascii="宋体" w:hAnsi="宋体" w:eastAsia="宋体" w:cs="宋体"/>
          <w:color w:val="000000"/>
          <w:kern w:val="0"/>
          <w:sz w:val="24"/>
          <w:szCs w:val="24"/>
          <w:lang w:val="en-US" w:eastAsia="zh-CN" w:bidi="ar"/>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jc w:val="left"/>
        <w:textAlignment w:val="auto"/>
        <w:rPr>
          <w:color w:val="000000"/>
          <w:sz w:val="24"/>
          <w:szCs w:val="24"/>
        </w:rPr>
      </w:pPr>
      <w:r>
        <w:rPr>
          <w:rFonts w:hint="eastAsia"/>
          <w:color w:val="000000"/>
          <w:sz w:val="24"/>
          <w:szCs w:val="24"/>
          <w:lang w:val="en-US" w:eastAsia="zh-CN"/>
        </w:rPr>
        <w:t>八</w:t>
      </w:r>
      <w:r>
        <w:rPr>
          <w:color w:val="000000"/>
          <w:sz w:val="24"/>
          <w:szCs w:val="24"/>
        </w:rPr>
        <w:t>、售后保障条款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1. 整体质保期限：项目全部验收合格之日起整体质保 2 年；质保期内所有</w:t>
      </w:r>
      <w:r>
        <w:rPr>
          <w:rFonts w:hint="eastAsia" w:ascii="宋体" w:hAnsi="宋体" w:eastAsia="宋体" w:cs="宋体"/>
          <w:color w:val="000000"/>
          <w:kern w:val="0"/>
          <w:sz w:val="24"/>
          <w:szCs w:val="24"/>
          <w:lang w:val="en-US" w:eastAsia="zh-CN" w:bidi="ar"/>
        </w:rPr>
        <w:t>施工区域出现漏水、渗水的情况</w:t>
      </w:r>
      <w:r>
        <w:rPr>
          <w:rFonts w:ascii="宋体" w:hAnsi="宋体" w:eastAsia="宋体" w:cs="宋体"/>
          <w:color w:val="000000"/>
          <w:kern w:val="0"/>
          <w:sz w:val="24"/>
          <w:szCs w:val="24"/>
          <w:lang w:val="en-US" w:eastAsia="zh-CN" w:bidi="ar"/>
        </w:rPr>
        <w:t>全部免费维修、免费更换</w:t>
      </w:r>
      <w:r>
        <w:rPr>
          <w:rFonts w:hint="eastAsia" w:ascii="宋体" w:hAnsi="宋体" w:eastAsia="宋体" w:cs="宋体"/>
          <w:color w:val="000000"/>
          <w:kern w:val="0"/>
          <w:sz w:val="24"/>
          <w:szCs w:val="24"/>
          <w:lang w:val="en-US" w:eastAsia="zh-CN" w:bidi="ar"/>
        </w:rPr>
        <w:t>材料</w:t>
      </w:r>
      <w:r>
        <w:rPr>
          <w:rFonts w:ascii="宋体" w:hAnsi="宋体" w:eastAsia="宋体" w:cs="宋体"/>
          <w:color w:val="000000"/>
          <w:kern w:val="0"/>
          <w:sz w:val="24"/>
          <w:szCs w:val="24"/>
          <w:lang w:val="en-US" w:eastAsia="zh-CN" w:bidi="ar"/>
        </w:rPr>
        <w:t>，不收取任何人费用。</w:t>
      </w:r>
      <w:r>
        <w:rPr>
          <w:rFonts w:ascii="宋体" w:hAnsi="宋体" w:eastAsia="宋体" w:cs="宋体"/>
          <w:color w:val="000000" w:themeColor="text1"/>
          <w:sz w:val="24"/>
          <w:szCs w:val="24"/>
          <w14:textFill>
            <w14:solidFill>
              <w14:schemeClr w14:val="tx1"/>
            </w14:solidFill>
          </w14:textFill>
        </w:rPr>
        <w:t>本项目预留结算总价 3% 作为质量保证金，质保期满无质量缺陷无息返还，质保期内渗漏维修费用优先从质保金抵扣。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color w:val="000000"/>
          <w:sz w:val="24"/>
          <w:szCs w:val="24"/>
        </w:rPr>
      </w:pPr>
      <w:r>
        <w:rPr>
          <w:rFonts w:ascii="宋体" w:hAnsi="宋体" w:eastAsia="宋体" w:cs="宋体"/>
          <w:color w:val="000000"/>
          <w:kern w:val="0"/>
          <w:sz w:val="24"/>
          <w:szCs w:val="24"/>
          <w:lang w:val="en-US" w:eastAsia="zh-CN" w:bidi="ar"/>
        </w:rPr>
        <w:t>2. 故障响应时效：校方报修后2小时内电话响应沟通故障情况，24 小时内技术人员抵达现场完成维修</w:t>
      </w:r>
      <w:r>
        <w:rPr>
          <w:rFonts w:hint="eastAsia" w:ascii="宋体" w:hAnsi="宋体" w:eastAsia="宋体" w:cs="宋体"/>
          <w:color w:val="000000"/>
          <w:kern w:val="0"/>
          <w:sz w:val="24"/>
          <w:szCs w:val="24"/>
          <w:lang w:val="en-US" w:eastAsia="zh-CN" w:bidi="ar"/>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jc w:val="left"/>
        <w:textAlignment w:val="auto"/>
        <w:rPr>
          <w:color w:val="000000"/>
          <w:sz w:val="24"/>
          <w:szCs w:val="24"/>
        </w:rPr>
      </w:pPr>
      <w:r>
        <w:rPr>
          <w:rFonts w:hint="eastAsia"/>
          <w:color w:val="000000"/>
          <w:sz w:val="24"/>
          <w:szCs w:val="24"/>
          <w:lang w:val="en-US" w:eastAsia="zh-CN"/>
        </w:rPr>
        <w:t>九</w:t>
      </w:r>
      <w:r>
        <w:rPr>
          <w:color w:val="000000"/>
          <w:sz w:val="24"/>
          <w:szCs w:val="24"/>
        </w:rPr>
        <w:t>、违约责任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1. 工期违约：中标</w:t>
      </w:r>
      <w:r>
        <w:rPr>
          <w:rFonts w:ascii="宋体" w:hAnsi="宋体" w:eastAsia="宋体" w:cs="宋体"/>
          <w:color w:val="000000"/>
          <w:kern w:val="0"/>
          <w:sz w:val="24"/>
          <w:szCs w:val="24"/>
          <w:highlight w:val="none"/>
          <w:lang w:val="en-US" w:eastAsia="zh-CN" w:bidi="ar"/>
        </w:rPr>
        <w:t>人未在</w:t>
      </w:r>
      <w:r>
        <w:rPr>
          <w:rFonts w:ascii="宋体" w:hAnsi="宋体" w:eastAsia="宋体" w:cs="宋体"/>
          <w:color w:val="FF0000"/>
          <w:kern w:val="0"/>
          <w:sz w:val="24"/>
          <w:szCs w:val="24"/>
          <w:highlight w:val="none"/>
          <w:lang w:val="en-US" w:eastAsia="zh-CN" w:bidi="ar"/>
        </w:rPr>
        <w:t xml:space="preserve"> </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20</w:t>
      </w:r>
      <w:r>
        <w:rPr>
          <w:rFonts w:ascii="宋体" w:hAnsi="宋体" w:eastAsia="宋体" w:cs="宋体"/>
          <w:color w:val="000000" w:themeColor="text1"/>
          <w:kern w:val="0"/>
          <w:sz w:val="24"/>
          <w:szCs w:val="24"/>
          <w:highlight w:val="none"/>
          <w:lang w:val="en-US" w:eastAsia="zh-CN" w:bidi="ar"/>
          <w14:textFill>
            <w14:solidFill>
              <w14:schemeClr w14:val="tx1"/>
            </w14:solidFill>
          </w14:textFill>
        </w:rPr>
        <w:t>个日历天内完成全部</w:t>
      </w:r>
      <w:r>
        <w:rPr>
          <w:rFonts w:ascii="宋体" w:hAnsi="宋体" w:eastAsia="宋体" w:cs="宋体"/>
          <w:color w:val="000000" w:themeColor="text1"/>
          <w:kern w:val="0"/>
          <w:sz w:val="24"/>
          <w:szCs w:val="24"/>
          <w:lang w:val="en-US" w:eastAsia="zh-CN" w:bidi="ar"/>
          <w14:textFill>
            <w14:solidFill>
              <w14:schemeClr w14:val="tx1"/>
            </w14:solidFill>
          </w14:textFill>
        </w:rPr>
        <w:t xml:space="preserve">施工并通过验收，每逾期 1天按合同总价 </w:t>
      </w:r>
      <w:r>
        <w:rPr>
          <w:rFonts w:hint="eastAsia" w:ascii="宋体" w:hAnsi="宋体" w:eastAsia="宋体" w:cs="宋体"/>
          <w:color w:val="000000" w:themeColor="text1"/>
          <w:kern w:val="0"/>
          <w:sz w:val="24"/>
          <w:szCs w:val="24"/>
          <w:lang w:val="en-US" w:eastAsia="zh-CN" w:bidi="ar"/>
          <w14:textFill>
            <w14:solidFill>
              <w14:schemeClr w14:val="tx1"/>
            </w14:solidFill>
          </w14:textFill>
        </w:rPr>
        <w:t>0.05</w:t>
      </w:r>
      <w:r>
        <w:rPr>
          <w:rFonts w:ascii="宋体" w:hAnsi="宋体" w:eastAsia="宋体" w:cs="宋体"/>
          <w:color w:val="000000" w:themeColor="text1"/>
          <w:kern w:val="0"/>
          <w:sz w:val="24"/>
          <w:szCs w:val="24"/>
          <w:lang w:val="en-US" w:eastAsia="zh-CN" w:bidi="ar"/>
          <w14:textFill>
            <w14:solidFill>
              <w14:schemeClr w14:val="tx1"/>
            </w14:solidFill>
          </w14:textFill>
        </w:rPr>
        <w:t>% 向校方支付违约金；逾期超过 7 天</w:t>
      </w:r>
      <w:r>
        <w:rPr>
          <w:rFonts w:ascii="宋体" w:hAnsi="宋体" w:eastAsia="宋体" w:cs="宋体"/>
          <w:color w:val="000000"/>
          <w:kern w:val="0"/>
          <w:sz w:val="24"/>
          <w:szCs w:val="24"/>
          <w:lang w:val="en-US" w:eastAsia="zh-CN" w:bidi="ar"/>
        </w:rPr>
        <w:t xml:space="preserve">，校方有权单方面解除合同，另行委托第三方施工，产生的差价、损失全部由原中标人承担，同时扣除全部尾款。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color w:val="000000"/>
          <w:kern w:val="0"/>
          <w:sz w:val="24"/>
          <w:szCs w:val="24"/>
          <w:lang w:val="en-US" w:eastAsia="zh-CN" w:bidi="ar"/>
        </w:rPr>
        <w:t>2. 质量违约：施工、设备不满足规范、技术参数、兼容要求，中标人须 3 日内无条件免费返工整改，整改期间计工期延误；两次整改仍不合格，校方解除合同，中标人支付合同总价</w:t>
      </w:r>
      <w:r>
        <w:rPr>
          <w:rFonts w:hint="eastAsia" w:ascii="宋体" w:hAnsi="宋体" w:eastAsia="宋体" w:cs="宋体"/>
          <w:color w:val="000000" w:themeColor="text1"/>
          <w:kern w:val="0"/>
          <w:sz w:val="24"/>
          <w:szCs w:val="24"/>
          <w:lang w:val="en-US" w:eastAsia="zh-CN" w:bidi="ar"/>
          <w14:textFill>
            <w14:solidFill>
              <w14:schemeClr w14:val="tx1"/>
            </w14:solidFill>
          </w14:textFill>
        </w:rPr>
        <w:t>10</w:t>
      </w:r>
      <w:r>
        <w:rPr>
          <w:rFonts w:ascii="宋体" w:hAnsi="宋体" w:eastAsia="宋体" w:cs="宋体"/>
          <w:color w:val="000000" w:themeColor="text1"/>
          <w:kern w:val="0"/>
          <w:sz w:val="24"/>
          <w:szCs w:val="24"/>
          <w:lang w:val="en-US" w:eastAsia="zh-CN" w:bidi="ar"/>
          <w14:textFill>
            <w14:solidFill>
              <w14:schemeClr w14:val="tx1"/>
            </w14:solidFill>
          </w14:textFill>
        </w:rPr>
        <w:t>% 违约金，并赔偿校方</w:t>
      </w:r>
      <w:r>
        <w:rPr>
          <w:rFonts w:hint="eastAsia" w:ascii="宋体" w:hAnsi="宋体" w:eastAsia="宋体" w:cs="宋体"/>
          <w:color w:val="000000" w:themeColor="text1"/>
          <w:kern w:val="0"/>
          <w:sz w:val="24"/>
          <w:szCs w:val="24"/>
          <w:lang w:val="en-US" w:eastAsia="zh-CN" w:bidi="ar"/>
          <w14:textFill>
            <w14:solidFill>
              <w14:schemeClr w14:val="tx1"/>
            </w14:solidFill>
          </w14:textFill>
        </w:rPr>
        <w:t>由此产生的</w:t>
      </w:r>
      <w:r>
        <w:rPr>
          <w:rFonts w:ascii="宋体" w:hAnsi="宋体" w:eastAsia="宋体" w:cs="宋体"/>
          <w:color w:val="000000" w:themeColor="text1"/>
          <w:kern w:val="0"/>
          <w:sz w:val="24"/>
          <w:szCs w:val="24"/>
          <w:lang w:val="en-US" w:eastAsia="zh-CN" w:bidi="ar"/>
          <w14:textFill>
            <w14:solidFill>
              <w14:schemeClr w14:val="tx1"/>
            </w14:solidFill>
          </w14:textFill>
        </w:rPr>
        <w:t xml:space="preserve">全部损失。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3. 转包、分包、联合承包违约：中标人存在联合承包、擅自将本项目整体</w:t>
      </w:r>
      <w:r>
        <w:rPr>
          <w:rFonts w:hint="eastAsia" w:ascii="宋体" w:hAnsi="宋体" w:eastAsia="宋体" w:cs="宋体"/>
          <w:color w:val="000000" w:themeColor="text1"/>
          <w:kern w:val="0"/>
          <w:sz w:val="24"/>
          <w:szCs w:val="24"/>
          <w:lang w:val="en-US" w:eastAsia="zh-CN" w:bidi="ar"/>
          <w14:textFill>
            <w14:solidFill>
              <w14:schemeClr w14:val="tx1"/>
            </w14:solidFill>
          </w14:textFill>
        </w:rPr>
        <w:t>或</w:t>
      </w:r>
      <w:r>
        <w:rPr>
          <w:rFonts w:ascii="宋体" w:hAnsi="宋体" w:eastAsia="宋体" w:cs="宋体"/>
          <w:color w:val="000000" w:themeColor="text1"/>
          <w:kern w:val="0"/>
          <w:sz w:val="24"/>
          <w:szCs w:val="24"/>
          <w:lang w:val="en-US" w:eastAsia="zh-CN" w:bidi="ar"/>
          <w14:textFill>
            <w14:solidFill>
              <w14:schemeClr w14:val="tx1"/>
            </w14:solidFill>
          </w14:textFill>
        </w:rPr>
        <w:t xml:space="preserve">部分转包、违法分包给第三方情形，校方立即终止合同，扣除全部未付工程款，中标人支付合同总价 </w:t>
      </w:r>
      <w:r>
        <w:rPr>
          <w:rFonts w:hint="eastAsia" w:ascii="宋体" w:hAnsi="宋体" w:eastAsia="宋体" w:cs="宋体"/>
          <w:color w:val="000000" w:themeColor="text1"/>
          <w:kern w:val="0"/>
          <w:sz w:val="24"/>
          <w:szCs w:val="24"/>
          <w:lang w:val="en-US" w:eastAsia="zh-CN" w:bidi="ar"/>
          <w14:textFill>
            <w14:solidFill>
              <w14:schemeClr w14:val="tx1"/>
            </w14:solidFill>
          </w14:textFill>
        </w:rPr>
        <w:t>15</w:t>
      </w:r>
      <w:r>
        <w:rPr>
          <w:rFonts w:ascii="宋体" w:hAnsi="宋体" w:eastAsia="宋体" w:cs="宋体"/>
          <w:color w:val="000000" w:themeColor="text1"/>
          <w:kern w:val="0"/>
          <w:sz w:val="24"/>
          <w:szCs w:val="24"/>
          <w:lang w:val="en-US" w:eastAsia="zh-CN" w:bidi="ar"/>
          <w14:textFill>
            <w14:solidFill>
              <w14:schemeClr w14:val="tx1"/>
            </w14:solidFill>
          </w14:textFill>
        </w:rPr>
        <w:t xml:space="preserve">% 违约金，由此造成一切损失由中标人承担。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4. 售后违约：质保期内故障未按 24 小时时效到场维修，每逾期一次扣除</w:t>
      </w:r>
      <w:r>
        <w:rPr>
          <w:rFonts w:ascii="宋体" w:hAnsi="宋体" w:eastAsia="宋体" w:cs="宋体"/>
          <w:color w:val="000000" w:themeColor="text1"/>
          <w:sz w:val="24"/>
          <w:szCs w:val="24"/>
          <w14:textFill>
            <w14:solidFill>
              <w14:schemeClr w14:val="tx1"/>
            </w14:solidFill>
          </w14:textFill>
        </w:rPr>
        <w:t>质量保证金总额的</w:t>
      </w:r>
      <w:r>
        <w:rPr>
          <w:rFonts w:ascii="宋体" w:hAnsi="宋体" w:eastAsia="宋体" w:cs="宋体"/>
          <w:color w:val="000000" w:themeColor="text1"/>
          <w:kern w:val="0"/>
          <w:sz w:val="24"/>
          <w:szCs w:val="24"/>
          <w:lang w:val="en-US" w:eastAsia="zh-CN" w:bidi="ar"/>
          <w14:textFill>
            <w14:solidFill>
              <w14:schemeClr w14:val="tx1"/>
            </w14:solidFill>
          </w14:textFill>
        </w:rPr>
        <w:t xml:space="preserve"> 5% 质保相关费用。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themeColor="text1"/>
          <w:kern w:val="0"/>
          <w:sz w:val="24"/>
          <w:szCs w:val="24"/>
          <w:lang w:val="en-US" w:eastAsia="zh-CN" w:bidi="ar"/>
          <w14:textFill>
            <w14:solidFill>
              <w14:schemeClr w14:val="tx1"/>
            </w14:solidFill>
          </w14:textFill>
        </w:rPr>
        <w:t xml:space="preserve">5. 虚假材料违约：投标、施工过程提供虚假资质、设备 3C 证书、伪劣非标设备，直接取消中标资格，中标人承担合同总价 </w:t>
      </w:r>
      <w:r>
        <w:rPr>
          <w:rFonts w:hint="eastAsia" w:ascii="宋体" w:hAnsi="宋体" w:eastAsia="宋体" w:cs="宋体"/>
          <w:color w:val="000000" w:themeColor="text1"/>
          <w:kern w:val="0"/>
          <w:sz w:val="24"/>
          <w:szCs w:val="24"/>
          <w:lang w:val="en-US" w:eastAsia="zh-CN" w:bidi="ar"/>
          <w14:textFill>
            <w14:solidFill>
              <w14:schemeClr w14:val="tx1"/>
            </w14:solidFill>
          </w14:textFill>
        </w:rPr>
        <w:t>12</w:t>
      </w:r>
      <w:r>
        <w:rPr>
          <w:rFonts w:ascii="宋体" w:hAnsi="宋体" w:eastAsia="宋体" w:cs="宋体"/>
          <w:color w:val="000000" w:themeColor="text1"/>
          <w:kern w:val="0"/>
          <w:sz w:val="24"/>
          <w:szCs w:val="24"/>
          <w:lang w:val="en-US" w:eastAsia="zh-CN" w:bidi="ar"/>
          <w14:textFill>
            <w14:solidFill>
              <w14:schemeClr w14:val="tx1"/>
            </w14:solidFill>
          </w14:textFill>
        </w:rPr>
        <w:t>% 违约金，</w:t>
      </w:r>
      <w:r>
        <w:rPr>
          <w:rFonts w:ascii="宋体" w:hAnsi="宋体" w:eastAsia="宋体" w:cs="宋体"/>
          <w:color w:val="000000"/>
          <w:kern w:val="0"/>
          <w:sz w:val="24"/>
          <w:szCs w:val="24"/>
          <w:lang w:val="en-US" w:eastAsia="zh-CN" w:bidi="ar"/>
        </w:rPr>
        <w:t>校方保留上报政府采购监管部门追责权利。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6.</w:t>
      </w:r>
      <w:r>
        <w:rPr>
          <w:rFonts w:ascii="宋体" w:hAnsi="宋体" w:eastAsia="宋体" w:cs="宋体"/>
          <w:color w:val="000000" w:themeColor="text1"/>
          <w:sz w:val="24"/>
          <w:szCs w:val="24"/>
          <w14:textFill>
            <w14:solidFill>
              <w14:schemeClr w14:val="tx1"/>
            </w14:solidFill>
          </w14:textFill>
        </w:rPr>
        <w:t>所有施工类违约金合并总额不超合同总价 8%</w:t>
      </w:r>
      <w:r>
        <w:rPr>
          <w:rFonts w:hint="eastAsia" w:ascii="宋体" w:hAnsi="宋体" w:eastAsia="宋体" w:cs="宋体"/>
          <w:color w:val="000000" w:themeColor="text1"/>
          <w:sz w:val="24"/>
          <w:szCs w:val="24"/>
          <w:lang w:eastAsia="zh-CN"/>
          <w14:textFill>
            <w14:solidFill>
              <w14:schemeClr w14:val="tx1"/>
            </w14:solidFill>
          </w14:textFill>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241" w:firstLineChars="100"/>
        <w:jc w:val="left"/>
        <w:textAlignment w:val="auto"/>
        <w:rPr>
          <w:color w:val="000000"/>
          <w:sz w:val="24"/>
          <w:szCs w:val="24"/>
        </w:rPr>
      </w:pPr>
      <w:r>
        <w:rPr>
          <w:rFonts w:hint="eastAsia"/>
          <w:color w:val="000000"/>
          <w:sz w:val="24"/>
          <w:szCs w:val="24"/>
          <w:lang w:val="en-US" w:eastAsia="zh-CN"/>
        </w:rPr>
        <w:t>十</w:t>
      </w:r>
      <w:r>
        <w:rPr>
          <w:color w:val="000000"/>
          <w:sz w:val="24"/>
          <w:szCs w:val="24"/>
        </w:rPr>
        <w:t>、其他要求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w:t>
      </w:r>
      <w:r>
        <w:rPr>
          <w:rFonts w:ascii="宋体" w:hAnsi="宋体" w:eastAsia="宋体" w:cs="宋体"/>
          <w:color w:val="000000"/>
          <w:kern w:val="0"/>
          <w:sz w:val="24"/>
          <w:szCs w:val="24"/>
          <w:lang w:val="en-US" w:eastAsia="zh-CN" w:bidi="ar"/>
        </w:rPr>
        <w:t>投标综合单价及总价均为含税包干价，包含人工费、材料费、机械费、管理费、利润、增值税及附加税费、辅材、拆除清运、脚手架、场内场外运输、成品保护、质保维修、垃圾外运、现场安全文明施工等全部费用。投标人结合自身纳税人身份自主测算成本报价，合同总价不作税率补差调整。最终在全部满足采购、资质、工期、售后、违约条款的供应商中，按含税总价最低确定中标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2. 结算方式：合同签订，全部施工完成，经学校后勤保卫</w:t>
      </w:r>
      <w:r>
        <w:rPr>
          <w:rFonts w:hint="eastAsia" w:ascii="宋体" w:hAnsi="宋体" w:eastAsia="宋体" w:cs="宋体"/>
          <w:color w:val="000000"/>
          <w:kern w:val="0"/>
          <w:sz w:val="24"/>
          <w:szCs w:val="24"/>
          <w:lang w:val="en-US" w:eastAsia="zh-CN" w:bidi="ar"/>
        </w:rPr>
        <w:t>处</w:t>
      </w:r>
      <w:r>
        <w:rPr>
          <w:rFonts w:ascii="宋体" w:hAnsi="宋体" w:eastAsia="宋体" w:cs="宋体"/>
          <w:color w:val="000000"/>
          <w:kern w:val="0"/>
          <w:sz w:val="24"/>
          <w:szCs w:val="24"/>
          <w:lang w:val="en-US" w:eastAsia="zh-CN" w:bidi="ar"/>
        </w:rPr>
        <w:t xml:space="preserve">验收合格后校方支付至结算总价 97%，剩余 3% 作为质量保证金，质保期满无质量问题一次性无息付清。报价为固定包干总价，无重大现场变更情况下学校不再追加任何费用，请投标单位自行踏勘核算全部风险成本。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3. </w:t>
      </w:r>
      <w:r>
        <w:rPr>
          <w:rFonts w:hint="eastAsia" w:ascii="宋体" w:hAnsi="宋体" w:eastAsia="宋体" w:cs="宋体"/>
          <w:color w:val="000000"/>
          <w:kern w:val="0"/>
          <w:sz w:val="24"/>
          <w:szCs w:val="24"/>
          <w:lang w:val="en-US" w:eastAsia="zh-CN" w:bidi="ar"/>
        </w:rPr>
        <w:t>统一现场踏勘时间：2026年7月23日 8:30-2026 年7月27日 17:30，相关踏勘事宜请联系技术陈老师。</w:t>
      </w:r>
      <w:r>
        <w:rPr>
          <w:rFonts w:ascii="宋体" w:hAnsi="宋体" w:eastAsia="宋体" w:cs="宋体"/>
          <w:color w:val="000000"/>
          <w:kern w:val="0"/>
          <w:sz w:val="24"/>
          <w:szCs w:val="24"/>
          <w:lang w:val="en-US" w:eastAsia="zh-CN" w:bidi="ar"/>
        </w:rPr>
        <w:t>本项目要求所有意向供应商必须到场踏勘并签署踏勘确认文件，</w:t>
      </w:r>
      <w:r>
        <w:rPr>
          <w:rFonts w:hint="eastAsia" w:ascii="宋体" w:hAnsi="宋体" w:eastAsia="宋体" w:cs="宋体"/>
          <w:color w:val="000000"/>
          <w:kern w:val="0"/>
          <w:sz w:val="24"/>
          <w:szCs w:val="24"/>
          <w:lang w:val="en-US" w:eastAsia="zh-CN" w:bidi="ar"/>
        </w:rPr>
        <w:t>不参加踏勘的投标无效</w:t>
      </w:r>
      <w:r>
        <w:rPr>
          <w:rFonts w:ascii="宋体" w:hAnsi="宋体" w:eastAsia="宋体" w:cs="宋体"/>
          <w:color w:val="000000"/>
          <w:kern w:val="0"/>
          <w:sz w:val="24"/>
          <w:szCs w:val="24"/>
          <w:lang w:val="en-US" w:eastAsia="zh-CN" w:bidi="ar"/>
        </w:rPr>
        <w:t>。踏勘相关费用、安全责任由供应商自行负责，无补踏勘安排。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themeColor="text1"/>
          <w:kern w:val="0"/>
          <w:sz w:val="24"/>
          <w:szCs w:val="24"/>
          <w:lang w:val="en-US" w:eastAsia="zh-CN" w:bidi="ar"/>
          <w14:textFill>
            <w14:solidFill>
              <w14:schemeClr w14:val="tx1"/>
            </w14:solidFill>
          </w14:textFill>
        </w:rPr>
        <w:t>4. 报价截止时间：2026年</w:t>
      </w:r>
      <w:r>
        <w:rPr>
          <w:rFonts w:hint="eastAsia" w:ascii="宋体" w:hAnsi="宋体" w:eastAsia="宋体" w:cs="宋体"/>
          <w:color w:val="000000" w:themeColor="text1"/>
          <w:kern w:val="0"/>
          <w:sz w:val="24"/>
          <w:szCs w:val="24"/>
          <w:lang w:val="en-US" w:eastAsia="zh-CN" w:bidi="ar"/>
          <w14:textFill>
            <w14:solidFill>
              <w14:schemeClr w14:val="tx1"/>
            </w14:solidFill>
          </w14:textFill>
        </w:rPr>
        <w:t>7</w:t>
      </w:r>
      <w:r>
        <w:rPr>
          <w:rFonts w:ascii="宋体" w:hAnsi="宋体" w:eastAsia="宋体" w:cs="宋体"/>
          <w:color w:val="000000" w:themeColor="text1"/>
          <w:kern w:val="0"/>
          <w:sz w:val="24"/>
          <w:szCs w:val="24"/>
          <w:lang w:val="en-US" w:eastAsia="zh-CN" w:bidi="ar"/>
          <w14:textFill>
            <w14:solidFill>
              <w14:schemeClr w14:val="tx1"/>
            </w14:solidFill>
          </w14:textFill>
        </w:rPr>
        <w:t>月</w:t>
      </w:r>
      <w:r>
        <w:rPr>
          <w:rFonts w:hint="eastAsia" w:ascii="宋体" w:hAnsi="宋体" w:eastAsia="宋体" w:cs="宋体"/>
          <w:color w:val="000000" w:themeColor="text1"/>
          <w:kern w:val="0"/>
          <w:sz w:val="24"/>
          <w:szCs w:val="24"/>
          <w:lang w:val="en-US" w:eastAsia="zh-CN" w:bidi="ar"/>
          <w14:textFill>
            <w14:solidFill>
              <w14:schemeClr w14:val="tx1"/>
            </w14:solidFill>
          </w14:textFill>
        </w:rPr>
        <w:t>28</w:t>
      </w:r>
      <w:r>
        <w:rPr>
          <w:rFonts w:ascii="宋体" w:hAnsi="宋体" w:eastAsia="宋体" w:cs="宋体"/>
          <w:color w:val="000000" w:themeColor="text1"/>
          <w:kern w:val="0"/>
          <w:sz w:val="24"/>
          <w:szCs w:val="24"/>
          <w:lang w:val="en-US" w:eastAsia="zh-CN" w:bidi="ar"/>
          <w14:textFill>
            <w14:solidFill>
              <w14:schemeClr w14:val="tx1"/>
            </w14:solidFill>
          </w14:textFill>
        </w:rPr>
        <w:t>日</w:t>
      </w:r>
      <w:r>
        <w:rPr>
          <w:rFonts w:hint="eastAsia" w:ascii="宋体" w:hAnsi="宋体" w:eastAsia="宋体" w:cs="宋体"/>
          <w:color w:val="000000" w:themeColor="text1"/>
          <w:kern w:val="0"/>
          <w:sz w:val="24"/>
          <w:szCs w:val="24"/>
          <w:lang w:val="en-US" w:eastAsia="zh-CN" w:bidi="ar"/>
          <w14:textFill>
            <w14:solidFill>
              <w14:schemeClr w14:val="tx1"/>
            </w14:solidFill>
          </w14:textFill>
        </w:rPr>
        <w:t>下</w:t>
      </w:r>
      <w:r>
        <w:rPr>
          <w:rFonts w:ascii="宋体" w:hAnsi="宋体" w:eastAsia="宋体" w:cs="宋体"/>
          <w:color w:val="000000" w:themeColor="text1"/>
          <w:kern w:val="0"/>
          <w:sz w:val="24"/>
          <w:szCs w:val="24"/>
          <w:lang w:val="en-US" w:eastAsia="zh-CN" w:bidi="ar"/>
          <w14:textFill>
            <w14:solidFill>
              <w14:schemeClr w14:val="tx1"/>
            </w14:solidFill>
          </w14:textFill>
        </w:rPr>
        <w:t>午</w:t>
      </w:r>
      <w:r>
        <w:rPr>
          <w:rFonts w:hint="eastAsia" w:ascii="宋体" w:hAnsi="宋体" w:eastAsia="宋体" w:cs="宋体"/>
          <w:color w:val="000000" w:themeColor="text1"/>
          <w:kern w:val="0"/>
          <w:sz w:val="24"/>
          <w:szCs w:val="24"/>
          <w:lang w:val="en-US" w:eastAsia="zh-CN" w:bidi="ar"/>
          <w14:textFill>
            <w14:solidFill>
              <w14:schemeClr w14:val="tx1"/>
            </w14:solidFill>
          </w14:textFill>
        </w:rPr>
        <w:t>15</w:t>
      </w:r>
      <w:r>
        <w:rPr>
          <w:rFonts w:ascii="宋体" w:hAnsi="宋体" w:eastAsia="宋体" w:cs="宋体"/>
          <w:color w:val="000000" w:themeColor="text1"/>
          <w:kern w:val="0"/>
          <w:sz w:val="24"/>
          <w:szCs w:val="24"/>
          <w:lang w:val="en-US" w:eastAsia="zh-CN" w:bidi="ar"/>
          <w14:textFill>
            <w14:solidFill>
              <w14:schemeClr w14:val="tx1"/>
            </w14:solidFill>
          </w14:textFill>
        </w:rPr>
        <w:t>:</w:t>
      </w:r>
      <w:r>
        <w:rPr>
          <w:rFonts w:hint="eastAsia" w:ascii="宋体" w:hAnsi="宋体" w:eastAsia="宋体" w:cs="宋体"/>
          <w:color w:val="000000" w:themeColor="text1"/>
          <w:kern w:val="0"/>
          <w:sz w:val="24"/>
          <w:szCs w:val="24"/>
          <w:lang w:val="en-US" w:eastAsia="zh-CN" w:bidi="ar"/>
          <w14:textFill>
            <w14:solidFill>
              <w14:schemeClr w14:val="tx1"/>
            </w14:solidFill>
          </w14:textFill>
        </w:rPr>
        <w:t>30</w:t>
      </w:r>
      <w:r>
        <w:rPr>
          <w:rFonts w:ascii="宋体" w:hAnsi="宋体" w:eastAsia="宋体" w:cs="宋体"/>
          <w:color w:val="000000" w:themeColor="text1"/>
          <w:kern w:val="0"/>
          <w:sz w:val="24"/>
          <w:szCs w:val="24"/>
          <w:lang w:val="en-US" w:eastAsia="zh-CN" w:bidi="ar"/>
          <w14:textFill>
            <w14:solidFill>
              <w14:schemeClr w14:val="tx1"/>
            </w14:solidFill>
          </w14:textFill>
        </w:rPr>
        <w:t>，</w:t>
      </w:r>
      <w:r>
        <w:rPr>
          <w:rFonts w:ascii="宋体" w:hAnsi="宋体" w:eastAsia="宋体" w:cs="宋体"/>
          <w:color w:val="000000"/>
          <w:kern w:val="0"/>
          <w:sz w:val="24"/>
          <w:szCs w:val="24"/>
          <w:lang w:val="en-US" w:eastAsia="zh-CN" w:bidi="ar"/>
        </w:rPr>
        <w:t xml:space="preserve">超过报价截止时间视为自动放弃本次报价 </w:t>
      </w:r>
      <w:r>
        <w:rPr>
          <w:rFonts w:hint="eastAsia" w:ascii="宋体" w:hAnsi="宋体" w:eastAsia="宋体" w:cs="宋体"/>
          <w:color w:val="000000"/>
          <w:kern w:val="0"/>
          <w:sz w:val="24"/>
          <w:szCs w:val="24"/>
          <w:lang w:val="en-US" w:eastAsia="zh-CN" w:bidi="ar"/>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5. 报价形式：密封现场报送，一式叁份（一正二副，一正本二副本），内含营业执照、安全生产许可证、建造师、报价表、承诺书等全套资料，原件随时备查。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6. 报价单位不允许仅对部分分项报价，仅投部分项目的视同废标。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7. 投标报价表须加盖本单位有效印鉴并标明单位名称；供应商授权代表须到场参与二次报价，未到场视为自动放弃谈判资格。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8. 工程变更计价约定 施工过程中因校方需求调整施工范围、施工点位、工程量产生工程变更的，按以下规则结算：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（1）清单内已有相同施工子目：直接沿用本招标清单对应综合单价计价，仅按实际增减工程量核算总价；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（2）清单内无对应子目但有同类相近防水施工内容：参照清单相近项目综合单价，结合材料、人工差价协商确定变更单价；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（3）清单无同类防水施工子目：由中标人提交变更组价明细（含材料、人工、机械、税费），经校方基建部门审核确认后方可执行；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（4）所有工程变更均须出具校方书面变更通知单，无书面确认的新增 / 减工程量，校方不予结算；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（5）本项目综合风险包干费仅覆盖现场零星修补、小型机具损耗、不可预见零星人工，不包含甲方书面重大工程变更内容，重大变更另行计价。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报送地址：南京理工大学泰州科技学院招投标办公室（明德楼 4105-1）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招标联系人：奚老师 联系电话：0523-86150050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技术咨询：陈老师 联系电话：13912199699</w:t>
      </w:r>
    </w:p>
    <w:bookmarkEnd w:id="0"/>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firstLine="480" w:firstLineChars="200"/>
        <w:jc w:val="left"/>
        <w:textAlignment w:val="auto"/>
        <w:rPr>
          <w:rFonts w:hint="eastAsia" w:ascii="宋体" w:hAnsi="宋体" w:eastAsia="宋体" w:cs="宋体"/>
          <w:color w:val="000000"/>
          <w:kern w:val="0"/>
          <w:sz w:val="24"/>
          <w:szCs w:val="24"/>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both"/>
        <w:rPr>
          <w:rFonts w:hint="eastAsia"/>
          <w:color w:val="000000"/>
          <w:sz w:val="21"/>
          <w:szCs w:val="21"/>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both"/>
        <w:rPr>
          <w:rFonts w:hint="eastAsia"/>
          <w:color w:val="000000"/>
          <w:sz w:val="21"/>
          <w:szCs w:val="21"/>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both"/>
        <w:rPr>
          <w:rFonts w:hint="eastAsia"/>
          <w:color w:val="000000"/>
          <w:sz w:val="21"/>
          <w:szCs w:val="21"/>
          <w:lang w:val="en-US" w:eastAsia="zh-CN"/>
        </w:rPr>
      </w:pPr>
      <w:r>
        <w:rPr>
          <w:rFonts w:hint="eastAsia"/>
          <w:color w:val="000000"/>
          <w:sz w:val="21"/>
          <w:szCs w:val="21"/>
          <w:lang w:val="en-US" w:eastAsia="zh-CN"/>
        </w:rPr>
        <w:t>附件1：</w:t>
      </w:r>
    </w:p>
    <w:p>
      <w:pPr>
        <w:adjustRightInd w:val="0"/>
        <w:snapToGrid w:val="0"/>
        <w:spacing w:line="540" w:lineRule="exact"/>
        <w:ind w:firstLine="643" w:firstLineChars="200"/>
        <w:jc w:val="center"/>
        <w:rPr>
          <w:rFonts w:hint="default" w:ascii="仿宋_GB2312" w:hAnsi="Times New Roman" w:eastAsia="仿宋_GB2312" w:cs="Times New Roman"/>
          <w:b/>
          <w:bCs/>
          <w:sz w:val="32"/>
          <w:szCs w:val="32"/>
          <w:lang w:val="en-US" w:eastAsia="zh-CN"/>
        </w:rPr>
      </w:pPr>
      <w:r>
        <w:rPr>
          <w:rFonts w:hint="eastAsia" w:ascii="仿宋_GB2312" w:hAnsi="Times New Roman" w:eastAsia="仿宋_GB2312" w:cs="Times New Roman"/>
          <w:b/>
          <w:bCs/>
          <w:sz w:val="32"/>
          <w:szCs w:val="32"/>
          <w:lang w:val="en-US" w:eastAsia="zh-CN"/>
        </w:rPr>
        <w:t>南京</w:t>
      </w:r>
      <w:r>
        <w:rPr>
          <w:rFonts w:hint="default" w:ascii="仿宋_GB2312" w:hAnsi="Times New Roman" w:eastAsia="仿宋_GB2312" w:cs="Times New Roman"/>
          <w:b/>
          <w:bCs/>
          <w:sz w:val="32"/>
          <w:szCs w:val="32"/>
          <w:lang w:val="en-US" w:eastAsia="zh-CN"/>
        </w:rPr>
        <w:t>理工</w:t>
      </w:r>
      <w:r>
        <w:rPr>
          <w:rFonts w:hint="eastAsia" w:ascii="仿宋_GB2312" w:hAnsi="Times New Roman" w:eastAsia="仿宋_GB2312" w:cs="Times New Roman"/>
          <w:b/>
          <w:bCs/>
          <w:sz w:val="32"/>
          <w:szCs w:val="32"/>
          <w:lang w:val="en-US" w:eastAsia="zh-CN"/>
        </w:rPr>
        <w:t>大学</w:t>
      </w:r>
      <w:r>
        <w:rPr>
          <w:rFonts w:hint="default" w:ascii="仿宋_GB2312" w:hAnsi="Times New Roman" w:eastAsia="仿宋_GB2312" w:cs="Times New Roman"/>
          <w:b/>
          <w:bCs/>
          <w:sz w:val="32"/>
          <w:szCs w:val="32"/>
          <w:lang w:val="en-US" w:eastAsia="zh-CN"/>
        </w:rPr>
        <w:t>泰州科技学院躬行楼屋面防水</w:t>
      </w:r>
      <w:r>
        <w:rPr>
          <w:rFonts w:hint="eastAsia" w:ascii="仿宋_GB2312" w:hAnsi="Times New Roman" w:eastAsia="仿宋_GB2312" w:cs="Times New Roman"/>
          <w:b/>
          <w:bCs/>
          <w:sz w:val="32"/>
          <w:szCs w:val="32"/>
          <w:lang w:val="en-US" w:eastAsia="zh-CN"/>
        </w:rPr>
        <w:t>报价表</w:t>
      </w:r>
    </w:p>
    <w:p>
      <w:pPr>
        <w:rPr>
          <w:rFonts w:hint="default"/>
          <w:lang w:val="en-US" w:eastAsia="zh-CN"/>
        </w:rPr>
      </w:pPr>
    </w:p>
    <w:tbl>
      <w:tblPr>
        <w:tblStyle w:val="8"/>
        <w:tblW w:w="530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3"/>
        <w:gridCol w:w="822"/>
        <w:gridCol w:w="1605"/>
        <w:gridCol w:w="2180"/>
        <w:gridCol w:w="965"/>
        <w:gridCol w:w="757"/>
        <w:gridCol w:w="1188"/>
        <w:gridCol w:w="11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b/>
                <w:bCs/>
                <w:i w:val="0"/>
                <w:iCs w:val="0"/>
                <w:color w:val="000000"/>
                <w:sz w:val="22"/>
                <w:szCs w:val="22"/>
                <w:u w:val="none"/>
                <w:lang w:val="en-US" w:eastAsia="zh-CN"/>
              </w:rPr>
            </w:pPr>
            <w:r>
              <w:rPr>
                <w:rFonts w:hint="eastAsia" w:ascii="微软雅黑" w:hAnsi="微软雅黑" w:eastAsia="微软雅黑" w:cs="微软雅黑"/>
                <w:b/>
                <w:bCs/>
                <w:i w:val="0"/>
                <w:iCs w:val="0"/>
                <w:color w:val="000000"/>
                <w:sz w:val="22"/>
                <w:szCs w:val="22"/>
                <w:u w:val="none"/>
                <w:lang w:val="en-US" w:eastAsia="zh-CN"/>
              </w:rPr>
              <w:t>序号</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b/>
                <w:bCs/>
                <w:i w:val="0"/>
                <w:iCs w:val="0"/>
                <w:color w:val="000000"/>
                <w:sz w:val="22"/>
                <w:szCs w:val="22"/>
                <w:u w:val="none"/>
                <w:lang w:val="en-US" w:eastAsia="zh-CN"/>
              </w:rPr>
            </w:pPr>
            <w:r>
              <w:rPr>
                <w:rFonts w:hint="eastAsia" w:ascii="微软雅黑" w:hAnsi="微软雅黑" w:eastAsia="微软雅黑" w:cs="微软雅黑"/>
                <w:b/>
                <w:bCs/>
                <w:i w:val="0"/>
                <w:iCs w:val="0"/>
                <w:color w:val="000000"/>
                <w:sz w:val="22"/>
                <w:szCs w:val="22"/>
                <w:u w:val="none"/>
                <w:lang w:val="en-US" w:eastAsia="zh-CN"/>
              </w:rPr>
              <w:t>项目</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品牌</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b/>
                <w:bCs/>
                <w:i w:val="0"/>
                <w:iCs w:val="0"/>
                <w:color w:val="000000"/>
                <w:sz w:val="22"/>
                <w:szCs w:val="22"/>
                <w:u w:val="none"/>
                <w:lang w:val="en-US"/>
              </w:rPr>
            </w:pPr>
            <w:r>
              <w:rPr>
                <w:rFonts w:hint="eastAsia" w:ascii="微软雅黑" w:hAnsi="微软雅黑" w:eastAsia="微软雅黑" w:cs="微软雅黑"/>
                <w:b/>
                <w:bCs/>
                <w:i w:val="0"/>
                <w:iCs w:val="0"/>
                <w:color w:val="000000"/>
                <w:kern w:val="0"/>
                <w:sz w:val="22"/>
                <w:szCs w:val="22"/>
                <w:u w:val="none"/>
                <w:lang w:val="en-US" w:eastAsia="zh-CN" w:bidi="ar"/>
              </w:rPr>
              <w:t>规格（要求）</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综合单价</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数量1</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单位</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b/>
                <w:bCs/>
                <w:i w:val="0"/>
                <w:iCs w:val="0"/>
                <w:color w:val="000000"/>
                <w:kern w:val="0"/>
                <w:sz w:val="22"/>
                <w:szCs w:val="22"/>
                <w:u w:val="none"/>
                <w:lang w:val="en-US" w:eastAsia="zh-CN" w:bidi="ar"/>
              </w:rPr>
            </w:pPr>
            <w:r>
              <w:rPr>
                <w:rFonts w:hint="eastAsia" w:ascii="微软雅黑" w:hAnsi="微软雅黑" w:eastAsia="微软雅黑" w:cs="微软雅黑"/>
                <w:b/>
                <w:bCs/>
                <w:i w:val="0"/>
                <w:iCs w:val="0"/>
                <w:color w:val="000000"/>
                <w:kern w:val="0"/>
                <w:sz w:val="22"/>
                <w:szCs w:val="22"/>
                <w:u w:val="none"/>
                <w:lang w:val="en-US" w:eastAsia="zh-CN" w:bidi="ar"/>
              </w:rPr>
              <w:t>合计（元）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清理屋面收缩缝</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left"/>
              <w:rPr>
                <w:rFonts w:hint="eastAsia" w:ascii="微软雅黑" w:hAnsi="微软雅黑" w:eastAsia="微软雅黑" w:cs="微软雅黑"/>
                <w:i w:val="0"/>
                <w:iCs w:val="0"/>
                <w:color w:val="000000"/>
                <w:sz w:val="20"/>
                <w:szCs w:val="20"/>
                <w:u w:val="none"/>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pPr>
              <w:numPr>
                <w:ilvl w:val="0"/>
                <w:numId w:val="0"/>
              </w:numPr>
              <w:snapToGrid w:val="0"/>
              <w:jc w:val="left"/>
              <w:rPr>
                <w:rFonts w:hint="eastAsia"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对屋面施工区域原防水层铲除、杂物清理。</w:t>
            </w:r>
          </w:p>
          <w:p>
            <w:pPr>
              <w:numPr>
                <w:ilvl w:val="0"/>
                <w:numId w:val="0"/>
              </w:numPr>
              <w:snapToGrid w:val="0"/>
              <w:jc w:val="left"/>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对收缩缝基层处理后，铺25mm以上防水卷材。</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350 </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米</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防水卷材</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napToGrid w:val="0"/>
              <w:jc w:val="left"/>
              <w:textAlignment w:val="bottom"/>
              <w:rPr>
                <w:rFonts w:ascii="等线" w:hAnsi="等线" w:eastAsia="等线" w:cs="等线"/>
                <w:i w:val="0"/>
                <w:iCs w:val="0"/>
                <w:color w:val="000000"/>
                <w:sz w:val="22"/>
                <w:szCs w:val="22"/>
                <w:u w:val="none"/>
              </w:rPr>
            </w:pPr>
            <w:r>
              <w:rPr>
                <w:rFonts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东方雨虹太空堡、德高太空堡、立邦太空堡</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3mm以上厚SBS改性沥青防水卷材一道</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基层处理（冷底油）</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1,700 </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平方米</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屋面凿混凝土并修复</w:t>
            </w:r>
          </w:p>
        </w:tc>
        <w:tc>
          <w:tcPr>
            <w:tcW w:w="88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snapToGrid w:val="0"/>
              <w:rPr>
                <w:rFonts w:hint="eastAsia" w:ascii="等线" w:hAnsi="等线" w:eastAsia="等线" w:cs="等线"/>
                <w:i w:val="0"/>
                <w:iCs w:val="0"/>
                <w:color w:val="000000"/>
                <w:sz w:val="22"/>
                <w:szCs w:val="22"/>
                <w:u w:val="none"/>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1、屋面漏水重点部位开槽（500mm)排水、阻水施工。</w:t>
            </w:r>
          </w:p>
          <w:p>
            <w:pPr>
              <w:keepNext w:val="0"/>
              <w:keepLines w:val="0"/>
              <w:widowControl/>
              <w:suppressLineNumbers w:val="0"/>
              <w:snapToGrid w:val="0"/>
              <w:jc w:val="left"/>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bidi="ar"/>
              </w:rPr>
              <w:t>2.混凝土种类：非泵送现浇。</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3、施工后恢复。</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auto"/>
                <w:kern w:val="0"/>
                <w:sz w:val="20"/>
                <w:szCs w:val="20"/>
                <w:highlight w:val="none"/>
                <w:u w:val="none"/>
                <w:lang w:val="en-US" w:eastAsia="zh-CN" w:bidi="ar"/>
              </w:rPr>
              <w:t>70</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米</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垃圾清运（外拉）</w:t>
            </w:r>
          </w:p>
        </w:tc>
        <w:tc>
          <w:tcPr>
            <w:tcW w:w="887"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left"/>
              <w:rPr>
                <w:rFonts w:hint="eastAsia" w:ascii="微软雅黑" w:hAnsi="微软雅黑" w:eastAsia="微软雅黑" w:cs="微软雅黑"/>
                <w:i w:val="0"/>
                <w:iCs w:val="0"/>
                <w:color w:val="000000"/>
                <w:sz w:val="20"/>
                <w:szCs w:val="20"/>
                <w:u w:val="none"/>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left"/>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对屋面施工前后产生的垃圾清理并外运。</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350 </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平方米</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非固化防水涂料</w:t>
            </w:r>
          </w:p>
        </w:tc>
        <w:tc>
          <w:tcPr>
            <w:tcW w:w="8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bottom"/>
              <w:rPr>
                <w:rFonts w:hint="default" w:ascii="等线" w:hAnsi="等线" w:eastAsia="等线" w:cs="等线"/>
                <w:i w:val="0"/>
                <w:iCs w:val="0"/>
                <w:color w:val="000000"/>
                <w:sz w:val="22"/>
                <w:szCs w:val="22"/>
                <w:u w:val="none"/>
                <w:lang w:val="en-US"/>
              </w:rPr>
            </w:pPr>
            <w:r>
              <w:rPr>
                <w:rFonts w:hint="eastAsia" w:ascii="微软雅黑" w:hAnsi="微软雅黑" w:eastAsia="微软雅黑" w:cs="微软雅黑"/>
                <w:i w:val="0"/>
                <w:iCs w:val="0"/>
                <w:color w:val="000000"/>
                <w:kern w:val="0"/>
                <w:sz w:val="20"/>
                <w:szCs w:val="20"/>
                <w:u w:val="none"/>
                <w:lang w:val="en-US" w:eastAsia="zh-CN" w:bidi="ar"/>
              </w:rPr>
              <w:t>东方雨虹、德高、立邦</w:t>
            </w: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对屋面重点漏水部位基层处理后刷防水粉料后铺防水卷材</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100 </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平方米</w:t>
            </w: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6</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themeColor="text1"/>
                <w:kern w:val="0"/>
                <w:sz w:val="20"/>
                <w:szCs w:val="20"/>
                <w:u w:val="none"/>
                <w:lang w:val="en-US" w:eastAsia="zh-CN" w:bidi="ar"/>
                <w14:textFill>
                  <w14:solidFill>
                    <w14:schemeClr w14:val="tx1"/>
                  </w14:solidFill>
                </w14:textFill>
              </w:rPr>
              <w:t>综合风险包干费</w:t>
            </w:r>
          </w:p>
        </w:tc>
        <w:tc>
          <w:tcPr>
            <w:tcW w:w="88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snapToGrid w:val="0"/>
              <w:jc w:val="left"/>
              <w:textAlignment w:val="bottom"/>
              <w:rPr>
                <w:rFonts w:hint="eastAsia" w:ascii="等线" w:hAnsi="等线" w:eastAsia="等线" w:cs="等线"/>
                <w:i w:val="0"/>
                <w:iCs w:val="0"/>
                <w:color w:val="000000"/>
                <w:kern w:val="0"/>
                <w:sz w:val="22"/>
                <w:szCs w:val="22"/>
                <w:u w:val="none"/>
                <w:lang w:val="en-US" w:eastAsia="zh-CN" w:bidi="ar"/>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left"/>
              <w:rPr>
                <w:rFonts w:hint="eastAsia" w:ascii="微软雅黑" w:hAnsi="微软雅黑" w:eastAsia="微软雅黑" w:cs="微软雅黑"/>
                <w:i w:val="0"/>
                <w:iCs w:val="0"/>
                <w:color w:val="000000"/>
                <w:sz w:val="20"/>
                <w:szCs w:val="20"/>
                <w:u w:val="none"/>
                <w:lang w:val="en-US" w:eastAsia="zh-CN"/>
              </w:rPr>
            </w:pPr>
            <w:bookmarkStart w:id="2" w:name="_GoBack"/>
            <w:bookmarkEnd w:id="2"/>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22"/>
                <w:lang w:val="en-US" w:eastAsia="zh-CN" w:bidi="ar"/>
              </w:rPr>
            </w:pPr>
            <w:r>
              <w:rPr>
                <w:rFonts w:hint="eastAsia" w:ascii="宋体" w:hAnsi="宋体" w:cs="微软雅黑 Light"/>
                <w:b/>
                <w:bCs/>
                <w:szCs w:val="21"/>
              </w:rPr>
              <w:t>含税总价（元）</w:t>
            </w:r>
          </w:p>
        </w:tc>
        <w:tc>
          <w:tcPr>
            <w:tcW w:w="436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22"/>
                <w:lang w:val="en-US" w:eastAsia="zh-CN" w:bidi="ar"/>
              </w:rPr>
            </w:pPr>
            <w:r>
              <w:rPr>
                <w:rFonts w:hint="eastAsia" w:ascii="宋体" w:hAnsi="宋体" w:cs="微软雅黑 Light"/>
                <w:b/>
                <w:bCs/>
                <w:szCs w:val="21"/>
              </w:rPr>
              <w:t>二次报价（元）</w:t>
            </w:r>
          </w:p>
        </w:tc>
        <w:tc>
          <w:tcPr>
            <w:tcW w:w="436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b/>
                <w:bCs/>
                <w:i w:val="0"/>
                <w:iCs w:val="0"/>
                <w:color w:val="000000"/>
                <w:sz w:val="20"/>
                <w:szCs w:val="20"/>
                <w:u w:val="none"/>
              </w:rPr>
            </w:pPr>
          </w:p>
        </w:tc>
      </w:tr>
    </w:tbl>
    <w:p>
      <w:pPr>
        <w:pStyle w:val="7"/>
        <w:keepNext w:val="0"/>
        <w:keepLines w:val="0"/>
        <w:pageBreakBefore w:val="0"/>
        <w:kinsoku/>
        <w:wordWrap/>
        <w:overflowPunct/>
        <w:topLinePunct w:val="0"/>
        <w:autoSpaceDE/>
        <w:autoSpaceDN/>
        <w:bidi w:val="0"/>
        <w:adjustRightInd w:val="0"/>
        <w:snapToGrid w:val="0"/>
        <w:spacing w:before="0" w:beforeAutospacing="0" w:after="0" w:afterAutospacing="0" w:line="240" w:lineRule="auto"/>
        <w:textAlignment w:val="auto"/>
        <w:rPr>
          <w:rStyle w:val="10"/>
          <w:rFonts w:hint="eastAsia" w:ascii="仿宋" w:hAnsi="仿宋" w:eastAsia="仿宋"/>
          <w:color w:val="FF0000"/>
          <w:sz w:val="21"/>
          <w:szCs w:val="21"/>
        </w:rPr>
      </w:pPr>
    </w:p>
    <w:p>
      <w:pPr>
        <w:pStyle w:val="7"/>
        <w:keepNext w:val="0"/>
        <w:keepLines w:val="0"/>
        <w:pageBreakBefore w:val="0"/>
        <w:kinsoku/>
        <w:wordWrap/>
        <w:overflowPunct/>
        <w:topLinePunct w:val="0"/>
        <w:autoSpaceDE/>
        <w:autoSpaceDN/>
        <w:bidi w:val="0"/>
        <w:adjustRightInd w:val="0"/>
        <w:snapToGrid w:val="0"/>
        <w:spacing w:before="0" w:beforeAutospacing="0" w:after="0" w:afterAutospacing="0" w:line="240" w:lineRule="auto"/>
        <w:textAlignment w:val="auto"/>
        <w:rPr>
          <w:color w:val="FF0000"/>
          <w:sz w:val="21"/>
          <w:szCs w:val="21"/>
        </w:rPr>
      </w:pPr>
      <w:r>
        <w:rPr>
          <w:rStyle w:val="10"/>
          <w:rFonts w:hint="eastAsia" w:ascii="仿宋" w:hAnsi="仿宋" w:eastAsia="仿宋"/>
          <w:color w:val="FF0000"/>
          <w:sz w:val="21"/>
          <w:szCs w:val="21"/>
        </w:rPr>
        <w:t>★</w:t>
      </w:r>
      <w:r>
        <w:rPr>
          <w:rStyle w:val="10"/>
          <w:rFonts w:hint="eastAsia"/>
          <w:color w:val="FF0000"/>
          <w:sz w:val="21"/>
          <w:szCs w:val="21"/>
        </w:rPr>
        <w:t>报价前请充分与技术咨询老师充分沟通，报价为含税包干价，后期可能有微调，无大变动情况，学校不再追加任何费用。</w:t>
      </w:r>
    </w:p>
    <w:p>
      <w:pPr>
        <w:pStyle w:val="7"/>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5040" w:firstLineChars="2100"/>
        <w:textAlignment w:val="auto"/>
        <w:rPr>
          <w:rFonts w:ascii="Times New Roman" w:hAnsi="Times New Roman"/>
          <w:b w:val="0"/>
          <w:bCs/>
          <w:sz w:val="24"/>
          <w:szCs w:val="24"/>
        </w:rPr>
      </w:pPr>
      <w:r>
        <w:rPr>
          <w:rFonts w:hint="eastAsia" w:ascii="Times New Roman" w:hAnsi="Times New Roman"/>
          <w:b w:val="0"/>
          <w:bCs/>
          <w:sz w:val="24"/>
          <w:szCs w:val="24"/>
        </w:rPr>
        <w:t>单位名称：（公章）</w:t>
      </w:r>
    </w:p>
    <w:p>
      <w:pPr>
        <w:keepNext w:val="0"/>
        <w:keepLines w:val="0"/>
        <w:pageBreakBefore w:val="0"/>
        <w:kinsoku/>
        <w:wordWrap/>
        <w:overflowPunct/>
        <w:topLinePunct w:val="0"/>
        <w:autoSpaceDE/>
        <w:autoSpaceDN/>
        <w:bidi w:val="0"/>
        <w:spacing w:line="360" w:lineRule="auto"/>
        <w:ind w:firstLine="5040" w:firstLineChars="2100"/>
        <w:jc w:val="left"/>
        <w:textAlignment w:val="auto"/>
        <w:rPr>
          <w:rFonts w:ascii="Times New Roman" w:hAnsi="Times New Roman"/>
          <w:b w:val="0"/>
          <w:bCs/>
          <w:sz w:val="24"/>
          <w:szCs w:val="24"/>
        </w:rPr>
      </w:pPr>
      <w:r>
        <w:rPr>
          <w:rFonts w:hint="eastAsia" w:ascii="Times New Roman" w:hAnsi="Times New Roman"/>
          <w:b w:val="0"/>
          <w:bCs/>
          <w:sz w:val="24"/>
          <w:szCs w:val="24"/>
        </w:rPr>
        <w:t>联系人及联系电话：</w:t>
      </w:r>
    </w:p>
    <w:p>
      <w:pPr>
        <w:keepNext w:val="0"/>
        <w:keepLines w:val="0"/>
        <w:pageBreakBefore w:val="0"/>
        <w:kinsoku/>
        <w:wordWrap/>
        <w:overflowPunct/>
        <w:topLinePunct w:val="0"/>
        <w:autoSpaceDE/>
        <w:autoSpaceDN/>
        <w:bidi w:val="0"/>
        <w:spacing w:line="360" w:lineRule="auto"/>
        <w:jc w:val="center"/>
        <w:textAlignment w:val="auto"/>
        <w:rPr>
          <w:rFonts w:hint="eastAsia" w:ascii="Times New Roman" w:hAnsi="Times New Roman"/>
          <w:b w:val="0"/>
          <w:bCs/>
          <w:sz w:val="24"/>
          <w:szCs w:val="24"/>
        </w:rPr>
      </w:pPr>
      <w:r>
        <w:rPr>
          <w:rFonts w:hint="eastAsia" w:ascii="Times New Roman" w:hAnsi="Times New Roman"/>
          <w:b w:val="0"/>
          <w:bCs/>
          <w:sz w:val="24"/>
          <w:szCs w:val="24"/>
        </w:rPr>
        <w:t xml:space="preserve">                                 年   月   日</w:t>
      </w:r>
    </w:p>
    <w:p>
      <w:pPr>
        <w:keepNext w:val="0"/>
        <w:keepLines w:val="0"/>
        <w:pageBreakBefore w:val="0"/>
        <w:kinsoku/>
        <w:wordWrap/>
        <w:overflowPunct/>
        <w:topLinePunct w:val="0"/>
        <w:autoSpaceDE/>
        <w:autoSpaceDN/>
        <w:bidi w:val="0"/>
        <w:spacing w:line="360" w:lineRule="auto"/>
        <w:jc w:val="center"/>
        <w:textAlignment w:val="auto"/>
        <w:rPr>
          <w:rFonts w:hint="eastAsia" w:ascii="Times New Roman" w:hAnsi="Times New Roman"/>
          <w:b w:val="0"/>
          <w:bCs/>
          <w:sz w:val="24"/>
          <w:szCs w:val="24"/>
        </w:rPr>
      </w:pPr>
    </w:p>
    <w:p>
      <w:pPr>
        <w:keepNext w:val="0"/>
        <w:keepLines w:val="0"/>
        <w:pageBreakBefore w:val="0"/>
        <w:kinsoku/>
        <w:wordWrap/>
        <w:overflowPunct/>
        <w:topLinePunct w:val="0"/>
        <w:autoSpaceDE/>
        <w:autoSpaceDN/>
        <w:bidi w:val="0"/>
        <w:spacing w:line="360" w:lineRule="auto"/>
        <w:jc w:val="both"/>
        <w:textAlignment w:val="auto"/>
        <w:rPr>
          <w:rFonts w:hint="eastAsia" w:ascii="Times New Roman" w:hAnsi="Times New Roman"/>
          <w:b w:val="0"/>
          <w:bCs/>
          <w:sz w:val="24"/>
          <w:szCs w:val="24"/>
          <w:lang w:val="en-US" w:eastAsia="zh-CN"/>
        </w:rPr>
      </w:pPr>
      <w:r>
        <w:rPr>
          <w:rFonts w:hint="eastAsia" w:ascii="Times New Roman" w:hAnsi="Times New Roman"/>
          <w:b w:val="0"/>
          <w:bCs/>
          <w:sz w:val="24"/>
          <w:szCs w:val="24"/>
          <w:lang w:val="en-US" w:eastAsia="zh-CN"/>
        </w:rPr>
        <w:t>附件2</w:t>
      </w:r>
    </w:p>
    <w:p>
      <w:pPr>
        <w:pStyle w:val="5"/>
        <w:jc w:val="center"/>
        <w:rPr>
          <w:rFonts w:hAnsi="宋体" w:eastAsia="宋体" w:cs="Times New Roman"/>
          <w:b/>
          <w:sz w:val="36"/>
          <w:szCs w:val="36"/>
        </w:rPr>
      </w:pPr>
      <w:r>
        <w:rPr>
          <w:rFonts w:hint="eastAsia" w:hAnsi="宋体" w:eastAsia="宋体" w:cs="Times New Roman"/>
          <w:b/>
          <w:sz w:val="36"/>
          <w:szCs w:val="36"/>
        </w:rPr>
        <w:t>承诺书</w:t>
      </w:r>
    </w:p>
    <w:p>
      <w:pPr>
        <w:pStyle w:val="4"/>
        <w:rPr>
          <w:rFonts w:ascii="宋体" w:hAnsi="宋体" w:eastAsia="宋体" w:cs="Times New Roman"/>
          <w:sz w:val="24"/>
          <w:szCs w:val="24"/>
        </w:rPr>
      </w:pP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（招标人名称）：</w:t>
      </w:r>
    </w:p>
    <w:p>
      <w:pPr>
        <w:pStyle w:val="5"/>
        <w:ind w:firstLine="480" w:firstLineChars="200"/>
        <w:rPr>
          <w:rFonts w:hAnsi="宋体" w:eastAsia="宋体" w:cs="宋体"/>
          <w:sz w:val="24"/>
          <w:szCs w:val="24"/>
        </w:rPr>
      </w:pPr>
      <w:r>
        <w:rPr>
          <w:rFonts w:hint="eastAsia"/>
          <w:sz w:val="24"/>
          <w:szCs w:val="24"/>
        </w:rPr>
        <w:t>我单位有幸参与</w:t>
      </w:r>
      <w:r>
        <w:rPr>
          <w:rFonts w:hint="eastAsia"/>
          <w:sz w:val="24"/>
          <w:szCs w:val="24"/>
          <w:u w:val="single"/>
        </w:rPr>
        <w:t xml:space="preserve">              </w:t>
      </w:r>
      <w:r>
        <w:rPr>
          <w:rFonts w:hint="eastAsia"/>
          <w:sz w:val="24"/>
          <w:szCs w:val="24"/>
        </w:rPr>
        <w:t>项目的投标，在此承诺符合以下条件：</w:t>
      </w:r>
    </w:p>
    <w:p>
      <w:pPr>
        <w:autoSpaceDE w:val="0"/>
        <w:autoSpaceDN w:val="0"/>
        <w:adjustRightIn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1、具备履行合同所必需的设备和专业技术能力；</w:t>
      </w:r>
    </w:p>
    <w:p>
      <w:pPr>
        <w:autoSpaceDE w:val="0"/>
        <w:autoSpaceDN w:val="0"/>
        <w:adjustRightIn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2、参加政府采购活动前3年内（成立时间不足三年的，可以自成立时间起）在经营活动中没有重大违法记录；</w:t>
      </w:r>
    </w:p>
    <w:p>
      <w:pPr>
        <w:autoSpaceDE w:val="0"/>
        <w:autoSpaceDN w:val="0"/>
        <w:adjustRightIn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3、至投标截止时间止，不存在以下情况：</w:t>
      </w:r>
    </w:p>
    <w:p>
      <w:pPr>
        <w:autoSpaceDE w:val="0"/>
        <w:autoSpaceDN w:val="0"/>
        <w:adjustRightInd w:val="0"/>
        <w:spacing w:line="360" w:lineRule="auto"/>
        <w:ind w:firstLine="482"/>
        <w:rPr>
          <w:rFonts w:ascii="宋体" w:hAnsi="宋体" w:eastAsia="宋体" w:cs="宋体"/>
          <w:sz w:val="24"/>
          <w:szCs w:val="24"/>
        </w:rPr>
      </w:pPr>
      <w:r>
        <w:rPr>
          <w:rFonts w:hint="eastAsia" w:ascii="宋体" w:hAnsi="宋体" w:eastAsia="宋体" w:cs="宋体"/>
          <w:sz w:val="24"/>
          <w:szCs w:val="24"/>
        </w:rPr>
        <w:t>（1）单位负责人为同一人或者存在直接控股、管理关系的不同投标人；</w:t>
      </w:r>
    </w:p>
    <w:p>
      <w:pPr>
        <w:autoSpaceDE w:val="0"/>
        <w:autoSpaceDN w:val="0"/>
        <w:adjustRightInd w:val="0"/>
        <w:spacing w:line="360" w:lineRule="auto"/>
        <w:ind w:firstLine="482"/>
        <w:rPr>
          <w:rFonts w:ascii="宋体" w:hAnsi="宋体" w:eastAsia="宋体" w:cs="宋体"/>
          <w:sz w:val="24"/>
          <w:szCs w:val="24"/>
        </w:rPr>
      </w:pPr>
      <w:r>
        <w:rPr>
          <w:rFonts w:hint="eastAsia" w:ascii="宋体" w:hAnsi="宋体" w:eastAsia="宋体" w:cs="宋体"/>
          <w:sz w:val="24"/>
          <w:szCs w:val="24"/>
        </w:rPr>
        <w:t>（2）被“信用中国”网站（www.creditchina.gov.cn）列入失信被执行人、重大税收违法案件当事人名单、严重违法失信行为记录名单的是指：投标人或其分支机构被“信用中国”网站（www.creditchina.gov.cn）列入失信被执行人的；</w:t>
      </w:r>
    </w:p>
    <w:p>
      <w:pPr>
        <w:pStyle w:val="4"/>
        <w:rPr>
          <w:rFonts w:ascii="宋体" w:hAnsi="宋体" w:eastAsia="宋体" w:cs="宋体"/>
          <w:color w:val="333333"/>
          <w:sz w:val="24"/>
          <w:szCs w:val="24"/>
          <w:shd w:val="clear" w:color="auto" w:fill="FFFFFF"/>
        </w:rPr>
      </w:pPr>
    </w:p>
    <w:p>
      <w:pPr>
        <w:tabs>
          <w:tab w:val="left" w:pos="720"/>
          <w:tab w:val="left" w:pos="1832"/>
          <w:tab w:val="left" w:pos="2748"/>
          <w:tab w:val="left" w:pos="3664"/>
          <w:tab w:val="left" w:pos="4580"/>
          <w:tab w:val="left" w:pos="5496"/>
          <w:tab w:val="left" w:pos="6412"/>
          <w:tab w:val="left" w:pos="7328"/>
          <w:tab w:val="left" w:pos="7800"/>
        </w:tabs>
        <w:spacing w:before="5" w:line="560" w:lineRule="atLeast"/>
        <w:ind w:firstLine="240" w:firstLineChars="100"/>
        <w:rPr>
          <w:rFonts w:ascii="宋体" w:hAnsi="宋体" w:eastAsia="宋体"/>
          <w:sz w:val="24"/>
          <w:szCs w:val="24"/>
        </w:rPr>
      </w:pPr>
      <w:r>
        <w:rPr>
          <w:rFonts w:hint="eastAsia" w:ascii="宋体" w:hAnsi="宋体" w:eastAsia="宋体"/>
          <w:sz w:val="24"/>
          <w:szCs w:val="24"/>
        </w:rPr>
        <w:t>投标人名称（盖章）：</w:t>
      </w:r>
      <w:r>
        <w:rPr>
          <w:rFonts w:ascii="宋体" w:hAnsi="宋体" w:eastAsia="宋体"/>
          <w:sz w:val="24"/>
          <w:szCs w:val="24"/>
        </w:rPr>
        <w:t xml:space="preserve">                   </w:t>
      </w:r>
    </w:p>
    <w:p>
      <w:pPr>
        <w:tabs>
          <w:tab w:val="left" w:pos="720"/>
          <w:tab w:val="left" w:pos="1832"/>
          <w:tab w:val="left" w:pos="2748"/>
          <w:tab w:val="left" w:pos="3664"/>
          <w:tab w:val="left" w:pos="4580"/>
          <w:tab w:val="left" w:pos="5496"/>
          <w:tab w:val="left" w:pos="6412"/>
          <w:tab w:val="left" w:pos="7328"/>
          <w:tab w:val="left" w:pos="7800"/>
        </w:tabs>
        <w:spacing w:before="5" w:line="560" w:lineRule="atLeast"/>
        <w:ind w:firstLine="240" w:firstLineChars="100"/>
        <w:rPr>
          <w:rFonts w:ascii="宋体" w:hAnsi="宋体" w:eastAsia="宋体"/>
          <w:sz w:val="24"/>
          <w:szCs w:val="24"/>
        </w:rPr>
      </w:pPr>
      <w:r>
        <w:rPr>
          <w:rFonts w:hint="eastAsia" w:ascii="宋体" w:hAnsi="宋体" w:eastAsia="宋体"/>
          <w:sz w:val="24"/>
          <w:szCs w:val="24"/>
        </w:rPr>
        <w:t>法定代表人或法定代表人授权代表（</w:t>
      </w:r>
      <w:r>
        <w:rPr>
          <w:rFonts w:hint="eastAsia" w:ascii="宋体" w:hAnsi="宋体"/>
          <w:sz w:val="24"/>
          <w:szCs w:val="24"/>
        </w:rPr>
        <w:t>盖章或签字</w:t>
      </w:r>
      <w:r>
        <w:rPr>
          <w:rFonts w:hint="eastAsia" w:ascii="宋体" w:hAnsi="宋体" w:eastAsia="宋体"/>
          <w:sz w:val="24"/>
          <w:szCs w:val="24"/>
        </w:rPr>
        <w:t>）：</w:t>
      </w:r>
    </w:p>
    <w:p>
      <w:pPr>
        <w:tabs>
          <w:tab w:val="left" w:pos="720"/>
          <w:tab w:val="left" w:pos="1832"/>
          <w:tab w:val="left" w:pos="2748"/>
          <w:tab w:val="left" w:pos="3664"/>
          <w:tab w:val="left" w:pos="4580"/>
          <w:tab w:val="left" w:pos="5496"/>
          <w:tab w:val="left" w:pos="6412"/>
          <w:tab w:val="left" w:pos="7328"/>
          <w:tab w:val="left" w:pos="7800"/>
        </w:tabs>
        <w:spacing w:before="5" w:line="560" w:lineRule="atLeast"/>
        <w:ind w:firstLine="240" w:firstLineChars="100"/>
        <w:rPr>
          <w:rFonts w:ascii="宋体" w:hAnsi="宋体" w:eastAsia="宋体"/>
          <w:sz w:val="24"/>
          <w:szCs w:val="24"/>
        </w:rPr>
      </w:pPr>
      <w:r>
        <w:rPr>
          <w:rFonts w:hint="eastAsia" w:ascii="宋体" w:hAnsi="宋体" w:eastAsia="宋体"/>
          <w:sz w:val="24"/>
          <w:szCs w:val="24"/>
        </w:rPr>
        <w:t>日期：</w:t>
      </w:r>
    </w:p>
    <w:p>
      <w:pPr>
        <w:keepNext w:val="0"/>
        <w:keepLines w:val="0"/>
        <w:pageBreakBefore w:val="0"/>
        <w:kinsoku/>
        <w:wordWrap/>
        <w:overflowPunct/>
        <w:topLinePunct w:val="0"/>
        <w:autoSpaceDE/>
        <w:autoSpaceDN/>
        <w:bidi w:val="0"/>
        <w:spacing w:line="360" w:lineRule="auto"/>
        <w:jc w:val="both"/>
        <w:textAlignment w:val="auto"/>
        <w:rPr>
          <w:rFonts w:hint="default" w:ascii="Times New Roman" w:hAnsi="Times New Roman"/>
          <w:b w:val="0"/>
          <w:bCs/>
          <w:sz w:val="24"/>
          <w:szCs w:val="24"/>
          <w:lang w:val="en-US" w:eastAsia="zh-CN"/>
        </w:rPr>
      </w:pPr>
    </w:p>
    <w:p>
      <w:pPr>
        <w:keepNext w:val="0"/>
        <w:keepLines w:val="0"/>
        <w:pageBreakBefore w:val="0"/>
        <w:kinsoku/>
        <w:wordWrap/>
        <w:overflowPunct/>
        <w:topLinePunct w:val="0"/>
        <w:autoSpaceDE/>
        <w:autoSpaceDN/>
        <w:bidi w:val="0"/>
        <w:spacing w:line="360" w:lineRule="auto"/>
        <w:jc w:val="center"/>
        <w:textAlignment w:val="auto"/>
        <w:rPr>
          <w:rFonts w:hint="eastAsia" w:ascii="Times New Roman" w:hAnsi="Times New Roman"/>
          <w:b w:val="0"/>
          <w:bCs/>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微软雅黑 Light">
    <w:panose1 w:val="020B0502040204020203"/>
    <w:charset w:val="86"/>
    <w:family w:val="swiss"/>
    <w:pitch w:val="default"/>
    <w:sig w:usb0="80000287" w:usb1="2ACF001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EB1C8C"/>
    <w:multiLevelType w:val="singleLevel"/>
    <w:tmpl w:val="83EB1C8C"/>
    <w:lvl w:ilvl="0" w:tentative="0">
      <w:start w:val="1"/>
      <w:numFmt w:val="chineseCounting"/>
      <w:suff w:val="nothing"/>
      <w:lvlText w:val="%1、"/>
      <w:lvlJc w:val="left"/>
      <w:rPr>
        <w:rFonts w:hint="eastAsia"/>
      </w:rPr>
    </w:lvl>
  </w:abstractNum>
  <w:abstractNum w:abstractNumId="1">
    <w:nsid w:val="DBB9A571"/>
    <w:multiLevelType w:val="singleLevel"/>
    <w:tmpl w:val="DBB9A571"/>
    <w:lvl w:ilvl="0" w:tentative="0">
      <w:start w:val="2"/>
      <w:numFmt w:val="decimal"/>
      <w:lvlText w:val="%1."/>
      <w:lvlJc w:val="left"/>
      <w:pPr>
        <w:tabs>
          <w:tab w:val="left" w:pos="312"/>
        </w:tabs>
        <w:ind w:left="480" w:leftChars="0" w:firstLine="0" w:firstLineChars="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54DCD"/>
    <w:rsid w:val="00E82BE7"/>
    <w:rsid w:val="01D378A2"/>
    <w:rsid w:val="023879B0"/>
    <w:rsid w:val="03502BB5"/>
    <w:rsid w:val="042A02DD"/>
    <w:rsid w:val="04477BEA"/>
    <w:rsid w:val="045276E5"/>
    <w:rsid w:val="04587FDB"/>
    <w:rsid w:val="047C31F9"/>
    <w:rsid w:val="04CE3F87"/>
    <w:rsid w:val="050831DC"/>
    <w:rsid w:val="05717162"/>
    <w:rsid w:val="05BB0A46"/>
    <w:rsid w:val="060E3EAF"/>
    <w:rsid w:val="06194A54"/>
    <w:rsid w:val="061D427A"/>
    <w:rsid w:val="063A60A3"/>
    <w:rsid w:val="06F351EB"/>
    <w:rsid w:val="070C5810"/>
    <w:rsid w:val="07934D7B"/>
    <w:rsid w:val="07CD4ABF"/>
    <w:rsid w:val="08241704"/>
    <w:rsid w:val="087256A6"/>
    <w:rsid w:val="089C3900"/>
    <w:rsid w:val="0A08280F"/>
    <w:rsid w:val="0B4C438E"/>
    <w:rsid w:val="0B502592"/>
    <w:rsid w:val="0C1374F6"/>
    <w:rsid w:val="0C2D3229"/>
    <w:rsid w:val="0C7006F3"/>
    <w:rsid w:val="0CCA02FF"/>
    <w:rsid w:val="0CD72510"/>
    <w:rsid w:val="0CE32442"/>
    <w:rsid w:val="0D28738D"/>
    <w:rsid w:val="0DE62A8E"/>
    <w:rsid w:val="0E3C1C9E"/>
    <w:rsid w:val="0E4D1DC7"/>
    <w:rsid w:val="0E902726"/>
    <w:rsid w:val="0EAB10E9"/>
    <w:rsid w:val="0ECF3174"/>
    <w:rsid w:val="0EEB63CE"/>
    <w:rsid w:val="0F323507"/>
    <w:rsid w:val="0F4D3886"/>
    <w:rsid w:val="0F926300"/>
    <w:rsid w:val="0FAB5A80"/>
    <w:rsid w:val="0FB84815"/>
    <w:rsid w:val="11382421"/>
    <w:rsid w:val="11B14842"/>
    <w:rsid w:val="11C80A74"/>
    <w:rsid w:val="122314F9"/>
    <w:rsid w:val="123624A7"/>
    <w:rsid w:val="12A775D9"/>
    <w:rsid w:val="130005FB"/>
    <w:rsid w:val="13000DE8"/>
    <w:rsid w:val="13896934"/>
    <w:rsid w:val="13953549"/>
    <w:rsid w:val="13F73856"/>
    <w:rsid w:val="16B906E6"/>
    <w:rsid w:val="175E71AC"/>
    <w:rsid w:val="17876B34"/>
    <w:rsid w:val="17B140E1"/>
    <w:rsid w:val="18620450"/>
    <w:rsid w:val="1A332C63"/>
    <w:rsid w:val="1A435AAC"/>
    <w:rsid w:val="1C730127"/>
    <w:rsid w:val="1C855AE6"/>
    <w:rsid w:val="1CF760C3"/>
    <w:rsid w:val="1D417AB8"/>
    <w:rsid w:val="1D875602"/>
    <w:rsid w:val="1D940BE8"/>
    <w:rsid w:val="1E041C8B"/>
    <w:rsid w:val="1ED03F60"/>
    <w:rsid w:val="1F623CC2"/>
    <w:rsid w:val="1F874C77"/>
    <w:rsid w:val="2091522F"/>
    <w:rsid w:val="20D164C2"/>
    <w:rsid w:val="21937CCA"/>
    <w:rsid w:val="219D0DF2"/>
    <w:rsid w:val="21C446ED"/>
    <w:rsid w:val="21FE7894"/>
    <w:rsid w:val="21FF57EE"/>
    <w:rsid w:val="227F6804"/>
    <w:rsid w:val="22D27DCE"/>
    <w:rsid w:val="22FF539C"/>
    <w:rsid w:val="23804662"/>
    <w:rsid w:val="23A13977"/>
    <w:rsid w:val="23D06E7D"/>
    <w:rsid w:val="240C7B60"/>
    <w:rsid w:val="24D77CAF"/>
    <w:rsid w:val="24DA0223"/>
    <w:rsid w:val="24F94CB9"/>
    <w:rsid w:val="25B36686"/>
    <w:rsid w:val="263B7B5E"/>
    <w:rsid w:val="267E7CF9"/>
    <w:rsid w:val="268D5553"/>
    <w:rsid w:val="26B16BC9"/>
    <w:rsid w:val="270D745F"/>
    <w:rsid w:val="272923C6"/>
    <w:rsid w:val="27335831"/>
    <w:rsid w:val="273A5BC5"/>
    <w:rsid w:val="273C5562"/>
    <w:rsid w:val="279956F9"/>
    <w:rsid w:val="27EC2B64"/>
    <w:rsid w:val="282D6628"/>
    <w:rsid w:val="286D2253"/>
    <w:rsid w:val="28DE6D75"/>
    <w:rsid w:val="290D373E"/>
    <w:rsid w:val="29673EE4"/>
    <w:rsid w:val="299D4F27"/>
    <w:rsid w:val="29D13744"/>
    <w:rsid w:val="2B7D264E"/>
    <w:rsid w:val="2B812FCC"/>
    <w:rsid w:val="2BDE3B09"/>
    <w:rsid w:val="2BF66518"/>
    <w:rsid w:val="2C69471B"/>
    <w:rsid w:val="2CC70617"/>
    <w:rsid w:val="2D1B76DD"/>
    <w:rsid w:val="2D392110"/>
    <w:rsid w:val="2D83592C"/>
    <w:rsid w:val="2DB0257E"/>
    <w:rsid w:val="2E776AE7"/>
    <w:rsid w:val="2E9B45D3"/>
    <w:rsid w:val="2EEE5A79"/>
    <w:rsid w:val="2EF760E3"/>
    <w:rsid w:val="2EFC3020"/>
    <w:rsid w:val="2F197B45"/>
    <w:rsid w:val="2F305D6F"/>
    <w:rsid w:val="2F431DC9"/>
    <w:rsid w:val="2FDF18BB"/>
    <w:rsid w:val="2FF507DE"/>
    <w:rsid w:val="30356655"/>
    <w:rsid w:val="304714EE"/>
    <w:rsid w:val="30817F5E"/>
    <w:rsid w:val="309A3CB4"/>
    <w:rsid w:val="30B24970"/>
    <w:rsid w:val="31704A55"/>
    <w:rsid w:val="31DF18C6"/>
    <w:rsid w:val="32625CDE"/>
    <w:rsid w:val="331B5CBD"/>
    <w:rsid w:val="333944D0"/>
    <w:rsid w:val="333F519E"/>
    <w:rsid w:val="338946EE"/>
    <w:rsid w:val="33C3702D"/>
    <w:rsid w:val="33D46F0A"/>
    <w:rsid w:val="34272038"/>
    <w:rsid w:val="34637E7F"/>
    <w:rsid w:val="34DA7EAE"/>
    <w:rsid w:val="35CF673B"/>
    <w:rsid w:val="36D06B3D"/>
    <w:rsid w:val="36EB5746"/>
    <w:rsid w:val="377A04F1"/>
    <w:rsid w:val="37EC0257"/>
    <w:rsid w:val="37EC558E"/>
    <w:rsid w:val="38016B7B"/>
    <w:rsid w:val="38D70D44"/>
    <w:rsid w:val="390B2866"/>
    <w:rsid w:val="39185769"/>
    <w:rsid w:val="392D5F80"/>
    <w:rsid w:val="39E90463"/>
    <w:rsid w:val="3A5917F6"/>
    <w:rsid w:val="3A83669A"/>
    <w:rsid w:val="3A9A43AD"/>
    <w:rsid w:val="3B112897"/>
    <w:rsid w:val="3BCF62C5"/>
    <w:rsid w:val="3C0C15CC"/>
    <w:rsid w:val="3C3B7E12"/>
    <w:rsid w:val="3D2E1277"/>
    <w:rsid w:val="3D66236F"/>
    <w:rsid w:val="3D715A0F"/>
    <w:rsid w:val="3DEE5091"/>
    <w:rsid w:val="3E0D0D72"/>
    <w:rsid w:val="3EAE3E21"/>
    <w:rsid w:val="40752291"/>
    <w:rsid w:val="407C401D"/>
    <w:rsid w:val="40834A3B"/>
    <w:rsid w:val="40894BAF"/>
    <w:rsid w:val="40BB00CF"/>
    <w:rsid w:val="40FC4D5C"/>
    <w:rsid w:val="41543059"/>
    <w:rsid w:val="41DF44A7"/>
    <w:rsid w:val="421301EF"/>
    <w:rsid w:val="421925CC"/>
    <w:rsid w:val="42377E5C"/>
    <w:rsid w:val="4240017E"/>
    <w:rsid w:val="42562AD0"/>
    <w:rsid w:val="4286126E"/>
    <w:rsid w:val="43067046"/>
    <w:rsid w:val="43A309FD"/>
    <w:rsid w:val="445D0A3D"/>
    <w:rsid w:val="4475459C"/>
    <w:rsid w:val="44D6772E"/>
    <w:rsid w:val="45642517"/>
    <w:rsid w:val="45FE72FD"/>
    <w:rsid w:val="4619639A"/>
    <w:rsid w:val="46E86C06"/>
    <w:rsid w:val="48700601"/>
    <w:rsid w:val="4930642C"/>
    <w:rsid w:val="49ED3012"/>
    <w:rsid w:val="49FC5636"/>
    <w:rsid w:val="4A0A3985"/>
    <w:rsid w:val="4A5B257D"/>
    <w:rsid w:val="4B2609BB"/>
    <w:rsid w:val="4B913E98"/>
    <w:rsid w:val="4CB71090"/>
    <w:rsid w:val="4CC50D11"/>
    <w:rsid w:val="4CD905E8"/>
    <w:rsid w:val="4CEC2571"/>
    <w:rsid w:val="4D4C6256"/>
    <w:rsid w:val="4D8A47E5"/>
    <w:rsid w:val="4DC52ACC"/>
    <w:rsid w:val="4DCF0F0C"/>
    <w:rsid w:val="4E443FDB"/>
    <w:rsid w:val="4E492C86"/>
    <w:rsid w:val="4EBB77C8"/>
    <w:rsid w:val="4EC21A93"/>
    <w:rsid w:val="4EE45FCC"/>
    <w:rsid w:val="4EED44CA"/>
    <w:rsid w:val="4F3436FC"/>
    <w:rsid w:val="4F3741C0"/>
    <w:rsid w:val="4F443BF1"/>
    <w:rsid w:val="4FAB1D0F"/>
    <w:rsid w:val="5006560E"/>
    <w:rsid w:val="50455D28"/>
    <w:rsid w:val="50967480"/>
    <w:rsid w:val="50AE782E"/>
    <w:rsid w:val="50F05355"/>
    <w:rsid w:val="513017FD"/>
    <w:rsid w:val="51882D32"/>
    <w:rsid w:val="519123F9"/>
    <w:rsid w:val="51F4314D"/>
    <w:rsid w:val="52FB6631"/>
    <w:rsid w:val="535179A7"/>
    <w:rsid w:val="53662CDE"/>
    <w:rsid w:val="53984A20"/>
    <w:rsid w:val="54DF51A9"/>
    <w:rsid w:val="554A6451"/>
    <w:rsid w:val="55E20FB8"/>
    <w:rsid w:val="562078DC"/>
    <w:rsid w:val="56310C56"/>
    <w:rsid w:val="564A5446"/>
    <w:rsid w:val="566D10A0"/>
    <w:rsid w:val="56DB7403"/>
    <w:rsid w:val="573E56D2"/>
    <w:rsid w:val="57747302"/>
    <w:rsid w:val="577806E1"/>
    <w:rsid w:val="58A80C8D"/>
    <w:rsid w:val="591259BC"/>
    <w:rsid w:val="59543D5E"/>
    <w:rsid w:val="598C7D98"/>
    <w:rsid w:val="59D16B7F"/>
    <w:rsid w:val="59D8784C"/>
    <w:rsid w:val="5A387C21"/>
    <w:rsid w:val="5A744081"/>
    <w:rsid w:val="5A7A2CB2"/>
    <w:rsid w:val="5AB835F1"/>
    <w:rsid w:val="5B2B161F"/>
    <w:rsid w:val="5B9B7714"/>
    <w:rsid w:val="5C0D0F8E"/>
    <w:rsid w:val="5C2F57B6"/>
    <w:rsid w:val="5C922D4E"/>
    <w:rsid w:val="5CA92AB7"/>
    <w:rsid w:val="5CF67314"/>
    <w:rsid w:val="5DCC1112"/>
    <w:rsid w:val="5E456F27"/>
    <w:rsid w:val="5E797446"/>
    <w:rsid w:val="5E8D2E37"/>
    <w:rsid w:val="5FD75C1E"/>
    <w:rsid w:val="601B05BC"/>
    <w:rsid w:val="61BC75CC"/>
    <w:rsid w:val="622B3CC9"/>
    <w:rsid w:val="624B7049"/>
    <w:rsid w:val="629A7291"/>
    <w:rsid w:val="62C86AD9"/>
    <w:rsid w:val="62DE326B"/>
    <w:rsid w:val="630162B0"/>
    <w:rsid w:val="632F5AB5"/>
    <w:rsid w:val="63BE47A4"/>
    <w:rsid w:val="63E46FE4"/>
    <w:rsid w:val="63EA704B"/>
    <w:rsid w:val="64156CAD"/>
    <w:rsid w:val="64372E46"/>
    <w:rsid w:val="64AD0307"/>
    <w:rsid w:val="652559B4"/>
    <w:rsid w:val="654D1E2E"/>
    <w:rsid w:val="65C91BB4"/>
    <w:rsid w:val="662179E1"/>
    <w:rsid w:val="66E81DBB"/>
    <w:rsid w:val="66EE1C05"/>
    <w:rsid w:val="66F46725"/>
    <w:rsid w:val="670B191B"/>
    <w:rsid w:val="670B490C"/>
    <w:rsid w:val="67210BFD"/>
    <w:rsid w:val="67D303DB"/>
    <w:rsid w:val="68270060"/>
    <w:rsid w:val="685D7641"/>
    <w:rsid w:val="68A415D4"/>
    <w:rsid w:val="69533019"/>
    <w:rsid w:val="696C07FD"/>
    <w:rsid w:val="69896C16"/>
    <w:rsid w:val="69C73B7E"/>
    <w:rsid w:val="69DF5B36"/>
    <w:rsid w:val="6A403EB4"/>
    <w:rsid w:val="6A5B0F9C"/>
    <w:rsid w:val="6A7B36EF"/>
    <w:rsid w:val="6A9B434E"/>
    <w:rsid w:val="6AE357B2"/>
    <w:rsid w:val="6AF12610"/>
    <w:rsid w:val="6AF85696"/>
    <w:rsid w:val="6BFC01EB"/>
    <w:rsid w:val="6C002830"/>
    <w:rsid w:val="6C4F7A91"/>
    <w:rsid w:val="6C9B628E"/>
    <w:rsid w:val="6CDC6C6E"/>
    <w:rsid w:val="6CEB795C"/>
    <w:rsid w:val="6D42550C"/>
    <w:rsid w:val="6D5E0A5D"/>
    <w:rsid w:val="6DA2129F"/>
    <w:rsid w:val="6DDD0090"/>
    <w:rsid w:val="6E4040E9"/>
    <w:rsid w:val="6E597000"/>
    <w:rsid w:val="6E98745E"/>
    <w:rsid w:val="7019618B"/>
    <w:rsid w:val="70203B1C"/>
    <w:rsid w:val="703578D7"/>
    <w:rsid w:val="70490EBF"/>
    <w:rsid w:val="70700009"/>
    <w:rsid w:val="708D614E"/>
    <w:rsid w:val="7163170D"/>
    <w:rsid w:val="71C62438"/>
    <w:rsid w:val="71D257F9"/>
    <w:rsid w:val="72276808"/>
    <w:rsid w:val="727977A2"/>
    <w:rsid w:val="729848A5"/>
    <w:rsid w:val="72C54F31"/>
    <w:rsid w:val="734C1DE2"/>
    <w:rsid w:val="73C72597"/>
    <w:rsid w:val="745778FC"/>
    <w:rsid w:val="748F4B03"/>
    <w:rsid w:val="755B4E04"/>
    <w:rsid w:val="75CD03C7"/>
    <w:rsid w:val="765F26A1"/>
    <w:rsid w:val="76706A13"/>
    <w:rsid w:val="767747CC"/>
    <w:rsid w:val="76CC3217"/>
    <w:rsid w:val="76FA55B6"/>
    <w:rsid w:val="7754557F"/>
    <w:rsid w:val="77880DA8"/>
    <w:rsid w:val="78264D14"/>
    <w:rsid w:val="78834FAB"/>
    <w:rsid w:val="78930E93"/>
    <w:rsid w:val="78CD3F0D"/>
    <w:rsid w:val="792254E6"/>
    <w:rsid w:val="7AC67CF1"/>
    <w:rsid w:val="7B30737B"/>
    <w:rsid w:val="7B6B3DEA"/>
    <w:rsid w:val="7B8632F9"/>
    <w:rsid w:val="7C4E69B9"/>
    <w:rsid w:val="7D95201B"/>
    <w:rsid w:val="7DA525E3"/>
    <w:rsid w:val="7EF968D3"/>
    <w:rsid w:val="7F097D8E"/>
    <w:rsid w:val="7F1111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spacing w:after="120"/>
    </w:pPr>
    <w:rPr>
      <w:sz w:val="15"/>
    </w:rPr>
  </w:style>
  <w:style w:type="paragraph" w:customStyle="1" w:styleId="5">
    <w:name w:val="style4"/>
    <w:basedOn w:val="1"/>
    <w:next w:val="6"/>
    <w:qFormat/>
    <w:uiPriority w:val="99"/>
    <w:pPr>
      <w:widowControl/>
      <w:spacing w:before="280" w:after="280"/>
    </w:pPr>
    <w:rPr>
      <w:rFonts w:ascii="宋体"/>
      <w:sz w:val="18"/>
    </w:rPr>
  </w:style>
  <w:style w:type="paragraph" w:customStyle="1" w:styleId="6">
    <w:name w:val="2"/>
    <w:next w:val="1"/>
    <w:qFormat/>
    <w:uiPriority w:val="99"/>
    <w:pPr>
      <w:widowControl w:val="0"/>
      <w:jc w:val="both"/>
    </w:pPr>
    <w:rPr>
      <w:rFonts w:ascii="Calibri" w:hAnsi="Calibri" w:eastAsia="宋体" w:cs="Times New Roman"/>
      <w:sz w:val="21"/>
      <w:szCs w:val="22"/>
      <w:lang w:val="en-US" w:eastAsia="zh-CN" w:bidi="ar-SA"/>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4148</Words>
  <Characters>4415</Characters>
  <TotalTime>21</TotalTime>
  <ScaleCrop>false</ScaleCrop>
  <LinksUpToDate>false</LinksUpToDate>
  <CharactersWithSpaces>4678</CharactersWithSpaces>
  <Application>WPS Office_11.8.2.10229_F1E327BC-269C-435d-A152-05C5408002CA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2026-06-26T08:40:00Z</dcterms:created>
  <dc:creator>Lenovo</dc:creator>
  <cp:lastModifiedBy>Lenovo</cp:lastModifiedBy>
  <dcterms:modified xsi:type="dcterms:W3CDTF">2026-07-23T00:09:54Z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KSOTemplateDocerSaveRecord">
    <vt:lpwstr>eyJoZGlkIjoiMzI4NzkyMzllNWY1MWZmYTg2ZGVkNDA0MmUzNjRhYmMiLCJ1c2VySWQiOiIzOTAzODUyMjAifQ==</vt:lpwstr>
  </property>
  <property fmtid="{D5CDD505-2E9C-101B-9397-08002B2CF9AE}" pid="4" name="ICV">
    <vt:lpwstr>CC6D3148142A469AA1BE47F2C0A6F89B_13</vt:lpwstr>
  </property>
</Properties>
</file>